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61" w:rsidRPr="00885861" w:rsidRDefault="00885861" w:rsidP="00885861">
      <w:pPr>
        <w:widowControl/>
        <w:adjustRightInd w:val="0"/>
        <w:jc w:val="center"/>
        <w:rPr>
          <w:rFonts w:ascii="CIDFont+F1" w:eastAsiaTheme="minorHAnsi" w:hAnsi="CIDFont+F1" w:cs="CIDFont+F1"/>
          <w:b/>
          <w:color w:val="4472C5"/>
          <w:sz w:val="26"/>
          <w:szCs w:val="26"/>
          <w:lang w:val="it-IT"/>
        </w:rPr>
      </w:pPr>
      <w:r w:rsidRPr="00885861">
        <w:rPr>
          <w:rFonts w:ascii="CIDFont+F1" w:eastAsiaTheme="minorHAnsi" w:hAnsi="CIDFont+F1" w:cs="CIDFont+F1"/>
          <w:b/>
          <w:color w:val="4472C5"/>
          <w:sz w:val="26"/>
          <w:szCs w:val="26"/>
          <w:lang w:val="it-IT"/>
        </w:rPr>
        <w:t xml:space="preserve">PROGRAMMA </w:t>
      </w:r>
      <w:proofErr w:type="spellStart"/>
      <w:r w:rsidRPr="00885861">
        <w:rPr>
          <w:rFonts w:ascii="CIDFont+F1" w:eastAsiaTheme="minorHAnsi" w:hAnsi="CIDFont+F1" w:cs="CIDFont+F1"/>
          <w:b/>
          <w:color w:val="4472C5"/>
          <w:sz w:val="26"/>
          <w:szCs w:val="26"/>
          <w:lang w:val="it-IT"/>
        </w:rPr>
        <w:t>DI</w:t>
      </w:r>
      <w:proofErr w:type="spellEnd"/>
      <w:r w:rsidRPr="00885861">
        <w:rPr>
          <w:rFonts w:ascii="CIDFont+F1" w:eastAsiaTheme="minorHAnsi" w:hAnsi="CIDFont+F1" w:cs="CIDFont+F1"/>
          <w:b/>
          <w:color w:val="4472C5"/>
          <w:sz w:val="26"/>
          <w:szCs w:val="26"/>
          <w:lang w:val="it-IT"/>
        </w:rPr>
        <w:t xml:space="preserve"> VALUTAZIONE DEL RISCHIO </w:t>
      </w:r>
      <w:proofErr w:type="spellStart"/>
      <w:r w:rsidRPr="00885861">
        <w:rPr>
          <w:rFonts w:ascii="CIDFont+F1" w:eastAsiaTheme="minorHAnsi" w:hAnsi="CIDFont+F1" w:cs="CIDFont+F1"/>
          <w:b/>
          <w:color w:val="4472C5"/>
          <w:sz w:val="26"/>
          <w:szCs w:val="26"/>
          <w:lang w:val="it-IT"/>
        </w:rPr>
        <w:t>DI</w:t>
      </w:r>
      <w:proofErr w:type="spellEnd"/>
      <w:r w:rsidRPr="00885861">
        <w:rPr>
          <w:rFonts w:ascii="CIDFont+F1" w:eastAsiaTheme="minorHAnsi" w:hAnsi="CIDFont+F1" w:cs="CIDFont+F1"/>
          <w:b/>
          <w:color w:val="4472C5"/>
          <w:sz w:val="26"/>
          <w:szCs w:val="26"/>
          <w:lang w:val="it-IT"/>
        </w:rPr>
        <w:t xml:space="preserve"> CRISI AZIENDALE</w:t>
      </w:r>
    </w:p>
    <w:p w:rsidR="00885861" w:rsidRDefault="00885861" w:rsidP="00885861">
      <w:pPr>
        <w:widowControl/>
        <w:adjustRightInd w:val="0"/>
        <w:jc w:val="center"/>
        <w:rPr>
          <w:rFonts w:ascii="CIDFont+F1" w:eastAsiaTheme="minorHAnsi" w:hAnsi="CIDFont+F1" w:cs="CIDFont+F1"/>
          <w:b/>
          <w:color w:val="4472C5"/>
          <w:sz w:val="26"/>
          <w:szCs w:val="26"/>
          <w:lang w:val="it-IT"/>
        </w:rPr>
      </w:pPr>
      <w:proofErr w:type="spellStart"/>
      <w:r w:rsidRPr="00885861">
        <w:rPr>
          <w:rFonts w:ascii="CIDFont+F1" w:eastAsiaTheme="minorHAnsi" w:hAnsi="CIDFont+F1" w:cs="CIDFont+F1"/>
          <w:b/>
          <w:color w:val="4472C5"/>
          <w:sz w:val="26"/>
          <w:szCs w:val="26"/>
          <w:lang w:val="it-IT"/>
        </w:rPr>
        <w:t>DI</w:t>
      </w:r>
      <w:proofErr w:type="spellEnd"/>
      <w:r w:rsidRPr="00885861">
        <w:rPr>
          <w:rFonts w:ascii="CIDFont+F1" w:eastAsiaTheme="minorHAnsi" w:hAnsi="CIDFont+F1" w:cs="CIDFont+F1"/>
          <w:b/>
          <w:color w:val="4472C5"/>
          <w:sz w:val="26"/>
          <w:szCs w:val="26"/>
          <w:lang w:val="it-IT"/>
        </w:rPr>
        <w:t xml:space="preserve"> </w:t>
      </w:r>
      <w:r>
        <w:rPr>
          <w:rFonts w:ascii="CIDFont+F1" w:eastAsiaTheme="minorHAnsi" w:hAnsi="CIDFont+F1" w:cs="CIDFont+F1"/>
          <w:b/>
          <w:color w:val="4472C5"/>
          <w:sz w:val="26"/>
          <w:szCs w:val="26"/>
          <w:lang w:val="it-IT"/>
        </w:rPr>
        <w:t xml:space="preserve">CASTELLABATE SERVIZI </w:t>
      </w:r>
      <w:proofErr w:type="spellStart"/>
      <w:r>
        <w:rPr>
          <w:rFonts w:ascii="CIDFont+F1" w:eastAsiaTheme="minorHAnsi" w:hAnsi="CIDFont+F1" w:cs="CIDFont+F1"/>
          <w:b/>
          <w:color w:val="4472C5"/>
          <w:sz w:val="26"/>
          <w:szCs w:val="26"/>
          <w:lang w:val="it-IT"/>
        </w:rPr>
        <w:t>S.R.L.</w:t>
      </w:r>
      <w:proofErr w:type="spellEnd"/>
    </w:p>
    <w:p w:rsidR="00885861" w:rsidRDefault="00885861" w:rsidP="00885861">
      <w:pPr>
        <w:widowControl/>
        <w:adjustRightInd w:val="0"/>
        <w:jc w:val="center"/>
        <w:rPr>
          <w:rFonts w:ascii="CIDFont+F1" w:eastAsiaTheme="minorHAnsi" w:hAnsi="CIDFont+F1" w:cs="CIDFont+F1"/>
          <w:b/>
          <w:color w:val="4472C5"/>
          <w:sz w:val="26"/>
          <w:szCs w:val="26"/>
          <w:lang w:val="it-IT"/>
        </w:rPr>
      </w:pPr>
      <w:r>
        <w:rPr>
          <w:rFonts w:ascii="CIDFont+F1" w:eastAsiaTheme="minorHAnsi" w:hAnsi="CIDFont+F1" w:cs="CIDFont+F1"/>
          <w:b/>
          <w:color w:val="4472C5"/>
          <w:sz w:val="26"/>
          <w:szCs w:val="26"/>
          <w:lang w:val="it-IT"/>
        </w:rPr>
        <w:t>(art. 6</w:t>
      </w:r>
      <w:r w:rsidRPr="00885861">
        <w:rPr>
          <w:rFonts w:ascii="CIDFont+F1" w:eastAsiaTheme="minorHAnsi" w:hAnsi="CIDFont+F1" w:cs="CIDFont+F1"/>
          <w:b/>
          <w:color w:val="4472C5"/>
          <w:sz w:val="26"/>
          <w:szCs w:val="26"/>
          <w:lang w:val="it-IT"/>
        </w:rPr>
        <w:t xml:space="preserve"> </w:t>
      </w:r>
      <w:proofErr w:type="spellStart"/>
      <w:r>
        <w:rPr>
          <w:rFonts w:ascii="CIDFont+F1" w:eastAsiaTheme="minorHAnsi" w:hAnsi="CIDFont+F1" w:cs="CIDFont+F1"/>
          <w:b/>
          <w:color w:val="4472C5"/>
          <w:sz w:val="26"/>
          <w:szCs w:val="26"/>
          <w:lang w:val="it-IT"/>
        </w:rPr>
        <w:t>co</w:t>
      </w:r>
      <w:proofErr w:type="spellEnd"/>
      <w:r w:rsidRPr="00885861">
        <w:rPr>
          <w:rFonts w:ascii="CIDFont+F1" w:eastAsiaTheme="minorHAnsi" w:hAnsi="CIDFont+F1" w:cs="CIDFont+F1"/>
          <w:b/>
          <w:color w:val="4472C5"/>
          <w:sz w:val="26"/>
          <w:szCs w:val="26"/>
          <w:lang w:val="it-IT"/>
        </w:rPr>
        <w:t xml:space="preserve">. 2 </w:t>
      </w:r>
      <w:proofErr w:type="spellStart"/>
      <w:r w:rsidRPr="00885861">
        <w:rPr>
          <w:rFonts w:ascii="CIDFont+F1" w:eastAsiaTheme="minorHAnsi" w:hAnsi="CIDFont+F1" w:cs="CIDFont+F1"/>
          <w:b/>
          <w:color w:val="4472C5"/>
          <w:sz w:val="26"/>
          <w:szCs w:val="26"/>
          <w:lang w:val="it-IT"/>
        </w:rPr>
        <w:t>D.LGS.</w:t>
      </w:r>
      <w:proofErr w:type="spellEnd"/>
      <w:r w:rsidRPr="00885861">
        <w:rPr>
          <w:rFonts w:ascii="CIDFont+F1" w:eastAsiaTheme="minorHAnsi" w:hAnsi="CIDFont+F1" w:cs="CIDFont+F1"/>
          <w:b/>
          <w:color w:val="4472C5"/>
          <w:sz w:val="26"/>
          <w:szCs w:val="26"/>
          <w:lang w:val="it-IT"/>
        </w:rPr>
        <w:t xml:space="preserve"> 175/2016</w:t>
      </w:r>
      <w:r>
        <w:rPr>
          <w:rFonts w:ascii="CIDFont+F1" w:eastAsiaTheme="minorHAnsi" w:hAnsi="CIDFont+F1" w:cs="CIDFont+F1"/>
          <w:b/>
          <w:color w:val="4472C5"/>
          <w:sz w:val="26"/>
          <w:szCs w:val="26"/>
          <w:lang w:val="it-IT"/>
        </w:rPr>
        <w:t>)</w:t>
      </w:r>
    </w:p>
    <w:p w:rsidR="00885861" w:rsidRPr="00885861" w:rsidRDefault="00885861" w:rsidP="00885861">
      <w:pPr>
        <w:widowControl/>
        <w:adjustRightInd w:val="0"/>
        <w:jc w:val="center"/>
        <w:rPr>
          <w:rFonts w:ascii="CIDFont+F1" w:eastAsiaTheme="minorHAnsi" w:hAnsi="CIDFont+F1" w:cs="CIDFont+F1"/>
          <w:b/>
          <w:color w:val="4472C5"/>
          <w:sz w:val="26"/>
          <w:szCs w:val="26"/>
          <w:lang w:val="it-IT"/>
        </w:rPr>
      </w:pPr>
    </w:p>
    <w:p w:rsidR="00885861" w:rsidRDefault="00885861" w:rsidP="00885861">
      <w:pPr>
        <w:widowControl/>
        <w:adjustRightInd w:val="0"/>
        <w:spacing w:line="276" w:lineRule="auto"/>
        <w:jc w:val="both"/>
        <w:rPr>
          <w:rFonts w:ascii="CIDFont+F1" w:eastAsiaTheme="minorHAnsi" w:hAnsi="CIDFont+F1" w:cs="CIDFont+F1"/>
          <w:color w:val="2F5497"/>
          <w:sz w:val="28"/>
          <w:szCs w:val="28"/>
          <w:lang w:val="it-IT"/>
        </w:rPr>
      </w:pPr>
      <w:r>
        <w:rPr>
          <w:rFonts w:ascii="CIDFont+F1" w:eastAsiaTheme="minorHAnsi" w:hAnsi="CIDFont+F1" w:cs="CIDFont+F1"/>
          <w:color w:val="2F5497"/>
          <w:sz w:val="28"/>
          <w:szCs w:val="28"/>
          <w:lang w:val="it-IT"/>
        </w:rPr>
        <w:t>1. Riferimenti normativi e statutari</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Il Decreto Legislativo 19 agosto 2016 n. 175, “Testo Unico in materia di società a partecipazione pubblica” (qui di seguito “Testo Unico”), emanato in attuazione dell’articolo 18 della Legge 7 agosto 2015 n. 124 “Deleghe al Governo in materia di riorganizzazione delle amministrazioni pubbliche”, contiene un riordino della disciplina delle partecipazioni societarie delle amministrazioni pubbliche.</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 xml:space="preserve">Nel dettaglio, l’articolo 6 rubricato “Principi fondamentali sull'organizzazione e sulla gestione delle società a controllo pubblico” ha introdotto nuovi adempimenti in materia di </w:t>
      </w:r>
      <w:proofErr w:type="spellStart"/>
      <w:r w:rsidRPr="00885861">
        <w:rPr>
          <w:rFonts w:ascii="CIDFont+F1" w:eastAsiaTheme="minorHAnsi" w:hAnsi="CIDFont+F1" w:cs="CIDFont+F1"/>
          <w:i/>
          <w:color w:val="000000"/>
          <w:lang w:val="it-IT"/>
        </w:rPr>
        <w:t>governance</w:t>
      </w:r>
      <w:proofErr w:type="spellEnd"/>
      <w:r>
        <w:rPr>
          <w:rFonts w:ascii="CIDFont+F1" w:eastAsiaTheme="minorHAnsi" w:hAnsi="CIDFont+F1" w:cs="CIDFont+F1"/>
          <w:color w:val="000000"/>
          <w:lang w:val="it-IT"/>
        </w:rPr>
        <w:t xml:space="preserve"> delle società a controllo pubblico, prevedendo, al comma 2, l’obbligo per le società partecipate di predisporre un “Programma di misurazione del rischio di crisi aziendale”.</w:t>
      </w:r>
    </w:p>
    <w:p w:rsidR="00885861" w:rsidRDefault="00885861" w:rsidP="00885861">
      <w:pPr>
        <w:widowControl/>
        <w:adjustRightInd w:val="0"/>
        <w:spacing w:line="276" w:lineRule="auto"/>
        <w:jc w:val="both"/>
        <w:rPr>
          <w:rFonts w:ascii="CIDFont+F1" w:eastAsiaTheme="minorHAnsi" w:hAnsi="CIDFont+F1" w:cs="CIDFont+F1"/>
          <w:color w:val="000000"/>
          <w:lang w:val="it-IT"/>
        </w:rPr>
      </w:pPr>
    </w:p>
    <w:p w:rsidR="00885861" w:rsidRDefault="00885861" w:rsidP="00885861">
      <w:pPr>
        <w:widowControl/>
        <w:adjustRightInd w:val="0"/>
        <w:spacing w:line="276" w:lineRule="auto"/>
        <w:jc w:val="both"/>
        <w:rPr>
          <w:rFonts w:ascii="CIDFont+F1" w:eastAsiaTheme="minorHAnsi" w:hAnsi="CIDFont+F1" w:cs="CIDFont+F1"/>
          <w:color w:val="2F5497"/>
          <w:sz w:val="28"/>
          <w:szCs w:val="28"/>
          <w:lang w:val="it-IT"/>
        </w:rPr>
      </w:pPr>
      <w:r>
        <w:rPr>
          <w:rFonts w:ascii="CIDFont+F1" w:eastAsiaTheme="minorHAnsi" w:hAnsi="CIDFont+F1" w:cs="CIDFont+F1"/>
          <w:color w:val="2F5497"/>
          <w:sz w:val="28"/>
          <w:szCs w:val="28"/>
          <w:lang w:val="it-IT"/>
        </w:rPr>
        <w:t>2. Il programma di valutazione del rischio di crisi aziendale</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La finalità principale del programma è quella di permettere di individuare per tempo ogni possibile segnale di crisi aziendale al fine di permettere una risposta pronta ed immediata oltre</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che una corretta e continuativa informazione al socio.</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A tal fine, anche sulla base della analisi delle indicazioni contenute nei documenti tecnici in tema</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di crisi aziendale</w:t>
      </w:r>
      <w:r>
        <w:rPr>
          <w:rStyle w:val="Rimandonotaapidipagina"/>
          <w:rFonts w:ascii="CIDFont+F1" w:eastAsiaTheme="minorHAnsi" w:hAnsi="CIDFont+F1" w:cs="CIDFont+F1"/>
          <w:color w:val="000000"/>
          <w:lang w:val="it-IT"/>
        </w:rPr>
        <w:footnoteReference w:id="1"/>
      </w:r>
      <w:r>
        <w:rPr>
          <w:rFonts w:ascii="CIDFont+F1" w:eastAsiaTheme="minorHAnsi" w:hAnsi="CIDFont+F1" w:cs="CIDFont+F1"/>
          <w:color w:val="000000"/>
          <w:lang w:val="it-IT"/>
        </w:rPr>
        <w:t xml:space="preserve">, la </w:t>
      </w:r>
      <w:proofErr w:type="spellStart"/>
      <w:r>
        <w:rPr>
          <w:rFonts w:ascii="CIDFont+F1" w:eastAsiaTheme="minorHAnsi" w:hAnsi="CIDFont+F1" w:cs="CIDFont+F1"/>
          <w:color w:val="000000"/>
          <w:lang w:val="it-IT"/>
        </w:rPr>
        <w:t>Castellabate</w:t>
      </w:r>
      <w:proofErr w:type="spellEnd"/>
      <w:r>
        <w:rPr>
          <w:rFonts w:ascii="CIDFont+F1" w:eastAsiaTheme="minorHAnsi" w:hAnsi="CIDFont+F1" w:cs="CIDFont+F1"/>
          <w:color w:val="000000"/>
          <w:lang w:val="it-IT"/>
        </w:rPr>
        <w:t xml:space="preserve"> Servizi S.r.l. ha ritenuto di strutturare il proprio programma di valutazione del rischio di crisi aziendale attorno alla individuazione di un set di indicatori il cui monitoraggio permette di cogliere con assoluta rapidità ogni possibile segnale di squilibrio aziendale.</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 xml:space="preserve">Rispetto a ciascuno degli indicatori così individuati, la </w:t>
      </w:r>
      <w:proofErr w:type="spellStart"/>
      <w:r>
        <w:rPr>
          <w:rFonts w:ascii="CIDFont+F1" w:eastAsiaTheme="minorHAnsi" w:hAnsi="CIDFont+F1" w:cs="CIDFont+F1"/>
          <w:color w:val="000000"/>
          <w:lang w:val="it-IT"/>
        </w:rPr>
        <w:t>Castellabate</w:t>
      </w:r>
      <w:proofErr w:type="spellEnd"/>
      <w:r>
        <w:rPr>
          <w:rFonts w:ascii="CIDFont+F1" w:eastAsiaTheme="minorHAnsi" w:hAnsi="CIDFont+F1" w:cs="CIDFont+F1"/>
          <w:color w:val="000000"/>
          <w:lang w:val="it-IT"/>
        </w:rPr>
        <w:t xml:space="preserve"> Servizi S.r.l., anche sulla scorta della esperienza storica di settore, ha fissato delle soglie di allarme il cui superamento deve essere inteso come segnale di allarme rispetto alla stabilità aziendale.</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I paragrafi che seguono indicano nel dettaglio:</w:t>
      </w:r>
    </w:p>
    <w:p w:rsidR="00885861" w:rsidRDefault="00885861" w:rsidP="00885861">
      <w:pPr>
        <w:pStyle w:val="Paragrafoelenco"/>
        <w:widowControl/>
        <w:numPr>
          <w:ilvl w:val="0"/>
          <w:numId w:val="8"/>
        </w:numPr>
        <w:adjustRightInd w:val="0"/>
        <w:spacing w:line="276" w:lineRule="auto"/>
        <w:rPr>
          <w:rFonts w:ascii="CIDFont+F1" w:eastAsiaTheme="minorHAnsi" w:hAnsi="CIDFont+F1" w:cs="CIDFont+F1"/>
          <w:color w:val="000000"/>
          <w:lang w:val="it-IT"/>
        </w:rPr>
      </w:pPr>
      <w:r w:rsidRPr="00885861">
        <w:rPr>
          <w:rFonts w:ascii="CIDFont+F1" w:eastAsiaTheme="minorHAnsi" w:hAnsi="CIDFont+F1" w:cs="CIDFont+F1"/>
          <w:color w:val="000000"/>
          <w:lang w:val="it-IT"/>
        </w:rPr>
        <w:t>gli indicatori assunti nel programma di valutazione del rischio di insolvenza e le relative soglie di allarme;</w:t>
      </w:r>
    </w:p>
    <w:p w:rsidR="00885861" w:rsidRDefault="00885861" w:rsidP="00885861">
      <w:pPr>
        <w:pStyle w:val="Paragrafoelenco"/>
        <w:widowControl/>
        <w:numPr>
          <w:ilvl w:val="0"/>
          <w:numId w:val="8"/>
        </w:numPr>
        <w:adjustRightInd w:val="0"/>
        <w:spacing w:line="276" w:lineRule="auto"/>
        <w:rPr>
          <w:rFonts w:ascii="CIDFont+F1" w:eastAsiaTheme="minorHAnsi" w:hAnsi="CIDFont+F1" w:cs="CIDFont+F1"/>
          <w:color w:val="000000"/>
          <w:lang w:val="it-IT"/>
        </w:rPr>
      </w:pPr>
      <w:r w:rsidRPr="00885861">
        <w:rPr>
          <w:rFonts w:ascii="CIDFont+F1" w:eastAsiaTheme="minorHAnsi" w:hAnsi="CIDFont+F1" w:cs="CIDFont+F1"/>
          <w:color w:val="000000"/>
          <w:lang w:val="it-IT"/>
        </w:rPr>
        <w:t>la periodicità e le responsabilità del controllo;</w:t>
      </w:r>
    </w:p>
    <w:p w:rsidR="00885861" w:rsidRDefault="00885861" w:rsidP="00885861">
      <w:pPr>
        <w:pStyle w:val="Paragrafoelenco"/>
        <w:widowControl/>
        <w:numPr>
          <w:ilvl w:val="0"/>
          <w:numId w:val="8"/>
        </w:numPr>
        <w:adjustRightInd w:val="0"/>
        <w:spacing w:line="276" w:lineRule="auto"/>
        <w:rPr>
          <w:rFonts w:ascii="CIDFont+F1" w:eastAsiaTheme="minorHAnsi" w:hAnsi="CIDFont+F1" w:cs="CIDFont+F1"/>
          <w:color w:val="000000"/>
          <w:lang w:val="it-IT"/>
        </w:rPr>
      </w:pPr>
      <w:r w:rsidRPr="00885861">
        <w:rPr>
          <w:rFonts w:ascii="CIDFont+F1" w:eastAsiaTheme="minorHAnsi" w:hAnsi="CIDFont+F1" w:cs="CIDFont+F1"/>
          <w:color w:val="000000"/>
          <w:lang w:val="it-IT"/>
        </w:rPr>
        <w:t>azioni di intervento in ipotesi di superamento delle soglie.</w:t>
      </w:r>
    </w:p>
    <w:p w:rsidR="00885861" w:rsidRPr="00885861" w:rsidRDefault="00885861" w:rsidP="00885861">
      <w:pPr>
        <w:widowControl/>
        <w:adjustRightInd w:val="0"/>
        <w:spacing w:line="276" w:lineRule="auto"/>
        <w:rPr>
          <w:rFonts w:ascii="CIDFont+F1" w:eastAsiaTheme="minorHAnsi" w:hAnsi="CIDFont+F1" w:cs="CIDFont+F1"/>
          <w:color w:val="000000"/>
          <w:lang w:val="it-IT"/>
        </w:rPr>
      </w:pPr>
    </w:p>
    <w:p w:rsidR="00885861" w:rsidRDefault="00885861" w:rsidP="00885861">
      <w:pPr>
        <w:widowControl/>
        <w:adjustRightInd w:val="0"/>
        <w:spacing w:line="276" w:lineRule="auto"/>
        <w:ind w:firstLine="720"/>
        <w:jc w:val="both"/>
        <w:rPr>
          <w:rFonts w:ascii="CIDFont+F1" w:eastAsiaTheme="minorHAnsi" w:hAnsi="CIDFont+F1" w:cs="CIDFont+F1"/>
          <w:color w:val="2F5497"/>
          <w:sz w:val="28"/>
          <w:szCs w:val="28"/>
          <w:lang w:val="it-IT"/>
        </w:rPr>
      </w:pPr>
      <w:r>
        <w:rPr>
          <w:rFonts w:ascii="CIDFont+F1" w:eastAsiaTheme="minorHAnsi" w:hAnsi="CIDFont+F1" w:cs="CIDFont+F1"/>
          <w:color w:val="2F5497"/>
          <w:sz w:val="28"/>
          <w:szCs w:val="28"/>
          <w:lang w:val="it-IT"/>
        </w:rPr>
        <w:t>2.1. Gli indicatori e le relative soglie di allarme</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La Salerno Mobilità spa ha individuato i seguenti indicatori e le relative soglie di allarme:</w:t>
      </w:r>
    </w:p>
    <w:p w:rsidR="00885861" w:rsidRDefault="00885861" w:rsidP="00885861">
      <w:pPr>
        <w:widowControl/>
        <w:adjustRightInd w:val="0"/>
        <w:spacing w:line="276" w:lineRule="auto"/>
        <w:jc w:val="both"/>
        <w:rPr>
          <w:rFonts w:ascii="CIDFont+F1" w:eastAsiaTheme="minorHAnsi" w:hAnsi="CIDFont+F1" w:cs="CIDFont+F1"/>
          <w:color w:val="000000"/>
          <w:lang w:val="it-IT"/>
        </w:rPr>
      </w:pPr>
    </w:p>
    <w:tbl>
      <w:tblPr>
        <w:tblStyle w:val="Grigliatabella"/>
        <w:tblW w:w="0" w:type="auto"/>
        <w:jc w:val="center"/>
        <w:tblLook w:val="04A0"/>
      </w:tblPr>
      <w:tblGrid>
        <w:gridCol w:w="339"/>
        <w:gridCol w:w="6147"/>
        <w:gridCol w:w="3200"/>
      </w:tblGrid>
      <w:tr w:rsidR="00885861" w:rsidTr="1AF95ABD">
        <w:trPr>
          <w:jc w:val="center"/>
        </w:trPr>
        <w:tc>
          <w:tcPr>
            <w:tcW w:w="250" w:type="dxa"/>
          </w:tcPr>
          <w:p w:rsidR="00885861" w:rsidRDefault="00885861" w:rsidP="00BB60A7">
            <w:pPr>
              <w:adjustRightInd w:val="0"/>
              <w:spacing w:line="276" w:lineRule="auto"/>
              <w:jc w:val="center"/>
              <w:rPr>
                <w:rFonts w:ascii="CIDFont+F1" w:eastAsiaTheme="minorHAnsi" w:hAnsi="CIDFont+F1" w:cs="CIDFont+F1"/>
                <w:color w:val="000000"/>
              </w:rPr>
            </w:pPr>
          </w:p>
        </w:tc>
        <w:tc>
          <w:tcPr>
            <w:tcW w:w="6156" w:type="dxa"/>
            <w:shd w:val="clear" w:color="auto" w:fill="C6D9F1" w:themeFill="text2" w:themeFillTint="33"/>
          </w:tcPr>
          <w:p w:rsidR="00885861" w:rsidRDefault="00BB60A7" w:rsidP="00BB60A7">
            <w:pPr>
              <w:adjustRightInd w:val="0"/>
              <w:spacing w:line="276" w:lineRule="auto"/>
              <w:jc w:val="center"/>
              <w:rPr>
                <w:rFonts w:ascii="CIDFont+F1" w:eastAsiaTheme="minorHAnsi" w:hAnsi="CIDFont+F1" w:cs="CIDFont+F1"/>
                <w:color w:val="000000"/>
              </w:rPr>
            </w:pPr>
            <w:r>
              <w:rPr>
                <w:rFonts w:ascii="CIDFont+F1" w:eastAsiaTheme="minorHAnsi" w:hAnsi="CIDFont+F1" w:cs="CIDFont+F1"/>
                <w:color w:val="000000"/>
              </w:rPr>
              <w:t>INDICATORI</w:t>
            </w:r>
          </w:p>
        </w:tc>
        <w:tc>
          <w:tcPr>
            <w:tcW w:w="3204" w:type="dxa"/>
            <w:shd w:val="clear" w:color="auto" w:fill="C6D9F1" w:themeFill="text2" w:themeFillTint="33"/>
          </w:tcPr>
          <w:p w:rsidR="00885861" w:rsidRDefault="00BB60A7" w:rsidP="00BB60A7">
            <w:pPr>
              <w:adjustRightInd w:val="0"/>
              <w:spacing w:line="276" w:lineRule="auto"/>
              <w:jc w:val="center"/>
              <w:rPr>
                <w:rFonts w:ascii="CIDFont+F1" w:eastAsiaTheme="minorHAnsi" w:hAnsi="CIDFont+F1" w:cs="CIDFont+F1"/>
                <w:color w:val="000000"/>
              </w:rPr>
            </w:pPr>
            <w:r>
              <w:rPr>
                <w:rFonts w:ascii="CIDFont+F1" w:eastAsiaTheme="minorHAnsi" w:hAnsi="CIDFont+F1" w:cs="CIDFont+F1"/>
                <w:color w:val="000000"/>
              </w:rPr>
              <w:t xml:space="preserve">SOGLIA </w:t>
            </w:r>
            <w:proofErr w:type="spellStart"/>
            <w:r>
              <w:rPr>
                <w:rFonts w:ascii="CIDFont+F1" w:eastAsiaTheme="minorHAnsi" w:hAnsi="CIDFont+F1" w:cs="CIDFont+F1"/>
                <w:color w:val="000000"/>
              </w:rPr>
              <w:t>DI</w:t>
            </w:r>
            <w:proofErr w:type="spellEnd"/>
            <w:r>
              <w:rPr>
                <w:rFonts w:ascii="CIDFont+F1" w:eastAsiaTheme="minorHAnsi" w:hAnsi="CIDFont+F1" w:cs="CIDFont+F1"/>
                <w:color w:val="000000"/>
              </w:rPr>
              <w:t xml:space="preserve"> ALLARME</w:t>
            </w:r>
          </w:p>
        </w:tc>
      </w:tr>
      <w:tr w:rsidR="00885861" w:rsidTr="1AF95ABD">
        <w:trPr>
          <w:jc w:val="center"/>
        </w:trPr>
        <w:tc>
          <w:tcPr>
            <w:tcW w:w="250" w:type="dxa"/>
          </w:tcPr>
          <w:p w:rsidR="00885861" w:rsidRDefault="00885861" w:rsidP="00885861">
            <w:pPr>
              <w:adjustRightInd w:val="0"/>
              <w:spacing w:line="276" w:lineRule="auto"/>
              <w:jc w:val="both"/>
              <w:rPr>
                <w:rFonts w:ascii="CIDFont+F1" w:eastAsiaTheme="minorHAnsi" w:hAnsi="CIDFont+F1" w:cs="CIDFont+F1"/>
                <w:color w:val="000000"/>
              </w:rPr>
            </w:pPr>
            <w:r>
              <w:rPr>
                <w:rFonts w:ascii="CIDFont+F1" w:eastAsiaTheme="minorHAnsi" w:hAnsi="CIDFont+F1" w:cs="CIDFont+F1"/>
                <w:color w:val="000000"/>
              </w:rPr>
              <w:t>1</w:t>
            </w:r>
          </w:p>
        </w:tc>
        <w:tc>
          <w:tcPr>
            <w:tcW w:w="6156" w:type="dxa"/>
          </w:tcPr>
          <w:p w:rsidR="00885861" w:rsidRDefault="00BB60A7" w:rsidP="00BB60A7">
            <w:pPr>
              <w:adjustRightInd w:val="0"/>
              <w:spacing w:line="276" w:lineRule="auto"/>
              <w:jc w:val="center"/>
              <w:rPr>
                <w:rFonts w:ascii="CIDFont+F1" w:eastAsiaTheme="minorHAnsi" w:hAnsi="CIDFont+F1" w:cs="CIDFont+F1"/>
                <w:color w:val="000000"/>
              </w:rPr>
            </w:pPr>
            <w:r>
              <w:rPr>
                <w:rFonts w:ascii="CIDFont+F1" w:eastAsiaTheme="minorHAnsi" w:hAnsi="CIDFont+F1" w:cs="CIDFont+F1"/>
                <w:color w:val="000000"/>
              </w:rPr>
              <w:t>Patrimonio Netto/Valore nominale del Capitale sociale</w:t>
            </w:r>
          </w:p>
        </w:tc>
        <w:tc>
          <w:tcPr>
            <w:tcW w:w="3204" w:type="dxa"/>
          </w:tcPr>
          <w:p w:rsidR="00885861" w:rsidRDefault="00BB60A7" w:rsidP="00BB60A7">
            <w:pPr>
              <w:adjustRightInd w:val="0"/>
              <w:spacing w:line="276" w:lineRule="auto"/>
              <w:jc w:val="center"/>
              <w:rPr>
                <w:rFonts w:ascii="CIDFont+F1" w:eastAsiaTheme="minorHAnsi" w:hAnsi="CIDFont+F1" w:cs="CIDFont+F1"/>
                <w:color w:val="000000"/>
              </w:rPr>
            </w:pPr>
            <w:r>
              <w:rPr>
                <w:rFonts w:ascii="CIDFont+F1" w:eastAsiaTheme="minorHAnsi" w:hAnsi="CIDFont+F1" w:cs="CIDFont+F1"/>
                <w:color w:val="000000"/>
              </w:rPr>
              <w:t>&lt; 0,70</w:t>
            </w:r>
          </w:p>
        </w:tc>
      </w:tr>
      <w:tr w:rsidR="00885861" w:rsidTr="1AF95ABD">
        <w:trPr>
          <w:jc w:val="center"/>
        </w:trPr>
        <w:tc>
          <w:tcPr>
            <w:tcW w:w="250" w:type="dxa"/>
          </w:tcPr>
          <w:p w:rsidR="00885861" w:rsidRDefault="00885861" w:rsidP="00885861">
            <w:pPr>
              <w:adjustRightInd w:val="0"/>
              <w:spacing w:line="276" w:lineRule="auto"/>
              <w:jc w:val="both"/>
              <w:rPr>
                <w:rFonts w:ascii="CIDFont+F1" w:eastAsiaTheme="minorHAnsi" w:hAnsi="CIDFont+F1" w:cs="CIDFont+F1"/>
                <w:color w:val="000000"/>
              </w:rPr>
            </w:pPr>
            <w:r>
              <w:rPr>
                <w:rFonts w:ascii="CIDFont+F1" w:eastAsiaTheme="minorHAnsi" w:hAnsi="CIDFont+F1" w:cs="CIDFont+F1"/>
                <w:color w:val="000000"/>
              </w:rPr>
              <w:t>2</w:t>
            </w:r>
          </w:p>
        </w:tc>
        <w:tc>
          <w:tcPr>
            <w:tcW w:w="6156" w:type="dxa"/>
          </w:tcPr>
          <w:p w:rsidR="00885861" w:rsidRDefault="00BB60A7" w:rsidP="00BB60A7">
            <w:pPr>
              <w:adjustRightInd w:val="0"/>
              <w:spacing w:line="276" w:lineRule="auto"/>
              <w:jc w:val="center"/>
              <w:rPr>
                <w:rFonts w:ascii="CIDFont+F1" w:eastAsiaTheme="minorHAnsi" w:hAnsi="CIDFont+F1" w:cs="CIDFont+F1"/>
                <w:color w:val="000000"/>
              </w:rPr>
            </w:pPr>
            <w:r>
              <w:rPr>
                <w:rFonts w:ascii="CIDFont+F1" w:eastAsiaTheme="minorHAnsi" w:hAnsi="CIDFont+F1" w:cs="CIDFont+F1"/>
                <w:color w:val="000000"/>
              </w:rPr>
              <w:t>Numero di esercizi consecutivi con risultato economico negativo</w:t>
            </w:r>
          </w:p>
        </w:tc>
        <w:tc>
          <w:tcPr>
            <w:tcW w:w="3204" w:type="dxa"/>
          </w:tcPr>
          <w:p w:rsidR="00885861" w:rsidRDefault="00BB60A7" w:rsidP="00BB60A7">
            <w:pPr>
              <w:adjustRightInd w:val="0"/>
              <w:spacing w:line="276" w:lineRule="auto"/>
              <w:jc w:val="center"/>
              <w:rPr>
                <w:rFonts w:ascii="CIDFont+F1" w:eastAsiaTheme="minorHAnsi" w:hAnsi="CIDFont+F1" w:cs="CIDFont+F1"/>
                <w:color w:val="000000"/>
              </w:rPr>
            </w:pPr>
            <w:r>
              <w:rPr>
                <w:rFonts w:ascii="CIDFont+F1" w:eastAsiaTheme="minorHAnsi" w:hAnsi="CIDFont+F1" w:cs="CIDFont+F1"/>
                <w:color w:val="000000"/>
              </w:rPr>
              <w:t>&gt; 3</w:t>
            </w:r>
          </w:p>
        </w:tc>
      </w:tr>
      <w:tr w:rsidR="00885861" w:rsidTr="1AF95ABD">
        <w:trPr>
          <w:jc w:val="center"/>
        </w:trPr>
        <w:tc>
          <w:tcPr>
            <w:tcW w:w="250" w:type="dxa"/>
          </w:tcPr>
          <w:p w:rsidR="00885861" w:rsidRDefault="00885861" w:rsidP="00885861">
            <w:pPr>
              <w:adjustRightInd w:val="0"/>
              <w:spacing w:line="276" w:lineRule="auto"/>
              <w:jc w:val="both"/>
              <w:rPr>
                <w:rFonts w:ascii="CIDFont+F1" w:eastAsiaTheme="minorHAnsi" w:hAnsi="CIDFont+F1" w:cs="CIDFont+F1"/>
                <w:color w:val="000000"/>
              </w:rPr>
            </w:pPr>
            <w:r>
              <w:rPr>
                <w:rFonts w:ascii="CIDFont+F1" w:eastAsiaTheme="minorHAnsi" w:hAnsi="CIDFont+F1" w:cs="CIDFont+F1"/>
                <w:color w:val="000000"/>
              </w:rPr>
              <w:t>3</w:t>
            </w:r>
          </w:p>
        </w:tc>
        <w:tc>
          <w:tcPr>
            <w:tcW w:w="6156" w:type="dxa"/>
          </w:tcPr>
          <w:p w:rsidR="00885861" w:rsidRDefault="1AF95ABD" w:rsidP="1AF95ABD">
            <w:pPr>
              <w:adjustRightInd w:val="0"/>
              <w:spacing w:line="276" w:lineRule="auto"/>
              <w:jc w:val="center"/>
              <w:rPr>
                <w:rFonts w:ascii="CIDFont+F1" w:eastAsiaTheme="minorHAnsi" w:hAnsi="CIDFont+F1" w:cs="CIDFont+F1"/>
                <w:color w:val="000000"/>
              </w:rPr>
            </w:pPr>
            <w:r w:rsidRPr="1AF95ABD">
              <w:rPr>
                <w:rFonts w:ascii="CIDFont+F1" w:eastAsia="CIDFont+F1" w:hAnsi="CIDFont+F1" w:cs="CIDFont+F1"/>
              </w:rPr>
              <w:t>Margine Operativo Lordo (MOL</w:t>
            </w:r>
            <w:r w:rsidR="00E05524">
              <w:rPr>
                <w:rFonts w:ascii="CIDFont+F1" w:eastAsia="CIDFont+F1" w:hAnsi="CIDFont+F1" w:cs="CIDFont+F1"/>
              </w:rPr>
              <w:t xml:space="preserve"> o EBITDA</w:t>
            </w:r>
            <w:r w:rsidRPr="1AF95ABD">
              <w:rPr>
                <w:rFonts w:ascii="CIDFont+F1" w:eastAsia="CIDFont+F1" w:hAnsi="CIDFont+F1" w:cs="CIDFont+F1"/>
              </w:rPr>
              <w:t>)</w:t>
            </w:r>
          </w:p>
        </w:tc>
        <w:tc>
          <w:tcPr>
            <w:tcW w:w="3204" w:type="dxa"/>
          </w:tcPr>
          <w:p w:rsidR="00885861" w:rsidRDefault="0042019A" w:rsidP="0042019A">
            <w:pPr>
              <w:adjustRightInd w:val="0"/>
              <w:spacing w:line="276" w:lineRule="auto"/>
              <w:jc w:val="center"/>
              <w:rPr>
                <w:rFonts w:ascii="CIDFont+F1" w:eastAsiaTheme="minorHAnsi" w:hAnsi="CIDFont+F1" w:cs="CIDFont+F1"/>
                <w:color w:val="000000"/>
              </w:rPr>
            </w:pPr>
            <w:r>
              <w:rPr>
                <w:rFonts w:ascii="CIDFont+F1" w:eastAsia="CIDFont+F1" w:hAnsi="CIDFont+F1" w:cs="CIDFont+F1"/>
              </w:rPr>
              <w:t>Negativo per tre esercizi consecutivi</w:t>
            </w:r>
            <w:r w:rsidR="1AF95ABD" w:rsidRPr="1AF95ABD">
              <w:rPr>
                <w:rFonts w:ascii="CIDFont+F1" w:eastAsia="CIDFont+F1" w:hAnsi="CIDFont+F1" w:cs="CIDFont+F1"/>
              </w:rPr>
              <w:t xml:space="preserve"> </w:t>
            </w:r>
          </w:p>
        </w:tc>
      </w:tr>
      <w:tr w:rsidR="00885861" w:rsidTr="1AF95ABD">
        <w:trPr>
          <w:jc w:val="center"/>
        </w:trPr>
        <w:tc>
          <w:tcPr>
            <w:tcW w:w="250" w:type="dxa"/>
          </w:tcPr>
          <w:p w:rsidR="00885861" w:rsidRDefault="00885861" w:rsidP="00885861">
            <w:pPr>
              <w:adjustRightInd w:val="0"/>
              <w:spacing w:line="276" w:lineRule="auto"/>
              <w:jc w:val="both"/>
              <w:rPr>
                <w:rFonts w:ascii="CIDFont+F1" w:eastAsiaTheme="minorHAnsi" w:hAnsi="CIDFont+F1" w:cs="CIDFont+F1"/>
                <w:color w:val="000000"/>
              </w:rPr>
            </w:pPr>
            <w:r>
              <w:rPr>
                <w:rFonts w:ascii="CIDFont+F1" w:eastAsiaTheme="minorHAnsi" w:hAnsi="CIDFont+F1" w:cs="CIDFont+F1"/>
                <w:color w:val="000000"/>
              </w:rPr>
              <w:lastRenderedPageBreak/>
              <w:t>4</w:t>
            </w:r>
          </w:p>
        </w:tc>
        <w:tc>
          <w:tcPr>
            <w:tcW w:w="6156" w:type="dxa"/>
          </w:tcPr>
          <w:p w:rsidR="1AF95ABD" w:rsidRDefault="1AF95ABD" w:rsidP="1AF95ABD">
            <w:r w:rsidRPr="1AF95ABD">
              <w:rPr>
                <w:rFonts w:ascii="CIDFont+F1" w:eastAsia="CIDFont+F1" w:hAnsi="CIDFont+F1" w:cs="CIDFont+F1"/>
              </w:rPr>
              <w:t xml:space="preserve">Presenza di rilievi sulla continuità nella relazione redatta dal revisore legale </w:t>
            </w:r>
          </w:p>
        </w:tc>
        <w:tc>
          <w:tcPr>
            <w:tcW w:w="3204" w:type="dxa"/>
          </w:tcPr>
          <w:p w:rsidR="00885861" w:rsidRDefault="1AF95ABD" w:rsidP="1AF95ABD">
            <w:pPr>
              <w:adjustRightInd w:val="0"/>
              <w:spacing w:line="276" w:lineRule="auto"/>
              <w:jc w:val="center"/>
              <w:rPr>
                <w:rFonts w:ascii="CIDFont+F1" w:eastAsiaTheme="minorEastAsia" w:hAnsi="CIDFont+F1" w:cs="CIDFont+F1"/>
                <w:color w:val="000000" w:themeColor="text1"/>
              </w:rPr>
            </w:pPr>
            <w:r w:rsidRPr="1AF95ABD">
              <w:rPr>
                <w:rFonts w:ascii="CIDFont+F1" w:eastAsiaTheme="minorEastAsia" w:hAnsi="CIDFont+F1" w:cs="CIDFont+F1"/>
                <w:color w:val="000000" w:themeColor="text1"/>
              </w:rPr>
              <w:t>Sì</w:t>
            </w:r>
          </w:p>
          <w:p w:rsidR="00885861" w:rsidRDefault="00885861" w:rsidP="1AF95ABD">
            <w:pPr>
              <w:adjustRightInd w:val="0"/>
              <w:spacing w:line="276" w:lineRule="auto"/>
              <w:jc w:val="center"/>
              <w:rPr>
                <w:rFonts w:ascii="CIDFont+F1" w:eastAsiaTheme="minorEastAsia" w:hAnsi="CIDFont+F1" w:cs="CIDFont+F1"/>
                <w:color w:val="000000" w:themeColor="text1"/>
              </w:rPr>
            </w:pPr>
          </w:p>
        </w:tc>
      </w:tr>
      <w:tr w:rsidR="00885861" w:rsidTr="1AF95ABD">
        <w:trPr>
          <w:jc w:val="center"/>
        </w:trPr>
        <w:tc>
          <w:tcPr>
            <w:tcW w:w="250" w:type="dxa"/>
          </w:tcPr>
          <w:p w:rsidR="00885861" w:rsidRDefault="00885861" w:rsidP="00885861">
            <w:pPr>
              <w:adjustRightInd w:val="0"/>
              <w:spacing w:line="276" w:lineRule="auto"/>
              <w:jc w:val="both"/>
              <w:rPr>
                <w:rFonts w:ascii="CIDFont+F1" w:eastAsiaTheme="minorHAnsi" w:hAnsi="CIDFont+F1" w:cs="CIDFont+F1"/>
                <w:color w:val="000000"/>
              </w:rPr>
            </w:pPr>
            <w:r>
              <w:rPr>
                <w:rFonts w:ascii="CIDFont+F1" w:eastAsiaTheme="minorHAnsi" w:hAnsi="CIDFont+F1" w:cs="CIDFont+F1"/>
                <w:color w:val="000000"/>
              </w:rPr>
              <w:t>5</w:t>
            </w:r>
          </w:p>
        </w:tc>
        <w:tc>
          <w:tcPr>
            <w:tcW w:w="6156" w:type="dxa"/>
          </w:tcPr>
          <w:p w:rsidR="1AF95ABD" w:rsidRDefault="1AF95ABD" w:rsidP="1AF95ABD">
            <w:r w:rsidRPr="1AF95ABD">
              <w:rPr>
                <w:rFonts w:ascii="CIDFont+F1" w:eastAsia="CIDFont+F1" w:hAnsi="CIDFont+F1" w:cs="CIDFont+F1"/>
              </w:rPr>
              <w:t>Presenza di contenziosi legali e fiscali che, in caso di soccombenza, potrebbero comportare obblighi di risarcimento che l’impresa non è in grado di rispettare</w:t>
            </w:r>
          </w:p>
        </w:tc>
        <w:tc>
          <w:tcPr>
            <w:tcW w:w="3204" w:type="dxa"/>
          </w:tcPr>
          <w:p w:rsidR="00885861" w:rsidRDefault="1AF95ABD" w:rsidP="1AF95ABD">
            <w:pPr>
              <w:adjustRightInd w:val="0"/>
              <w:spacing w:line="276" w:lineRule="auto"/>
              <w:jc w:val="center"/>
              <w:rPr>
                <w:rFonts w:ascii="CIDFont+F1" w:eastAsiaTheme="minorEastAsia" w:hAnsi="CIDFont+F1" w:cs="CIDFont+F1"/>
                <w:color w:val="000000" w:themeColor="text1"/>
              </w:rPr>
            </w:pPr>
            <w:r w:rsidRPr="1AF95ABD">
              <w:rPr>
                <w:rFonts w:ascii="CIDFont+F1" w:eastAsiaTheme="minorEastAsia" w:hAnsi="CIDFont+F1" w:cs="CIDFont+F1"/>
                <w:color w:val="000000" w:themeColor="text1"/>
              </w:rPr>
              <w:t>Sì</w:t>
            </w:r>
          </w:p>
        </w:tc>
      </w:tr>
      <w:tr w:rsidR="00885861" w:rsidTr="1AF95ABD">
        <w:trPr>
          <w:jc w:val="center"/>
        </w:trPr>
        <w:tc>
          <w:tcPr>
            <w:tcW w:w="250" w:type="dxa"/>
          </w:tcPr>
          <w:p w:rsidR="00885861" w:rsidRDefault="00885861" w:rsidP="00885861">
            <w:pPr>
              <w:adjustRightInd w:val="0"/>
              <w:spacing w:line="276" w:lineRule="auto"/>
              <w:jc w:val="both"/>
              <w:rPr>
                <w:rFonts w:ascii="CIDFont+F1" w:eastAsiaTheme="minorHAnsi" w:hAnsi="CIDFont+F1" w:cs="CIDFont+F1"/>
                <w:color w:val="000000"/>
              </w:rPr>
            </w:pPr>
            <w:r>
              <w:rPr>
                <w:rFonts w:ascii="CIDFont+F1" w:eastAsiaTheme="minorHAnsi" w:hAnsi="CIDFont+F1" w:cs="CIDFont+F1"/>
                <w:color w:val="000000"/>
              </w:rPr>
              <w:t>6</w:t>
            </w:r>
          </w:p>
        </w:tc>
        <w:tc>
          <w:tcPr>
            <w:tcW w:w="6156" w:type="dxa"/>
          </w:tcPr>
          <w:p w:rsidR="1AF95ABD" w:rsidRDefault="1AF95ABD" w:rsidP="1AF95ABD">
            <w:r w:rsidRPr="1AF95ABD">
              <w:rPr>
                <w:rFonts w:ascii="CIDFont+F1" w:eastAsia="CIDFont+F1" w:hAnsi="CIDFont+F1" w:cs="CIDFont+F1"/>
              </w:rPr>
              <w:t>Modifiche legislative o politiche governative dalle quali si attendono effetti sfavorevoli all’impresa</w:t>
            </w:r>
          </w:p>
        </w:tc>
        <w:tc>
          <w:tcPr>
            <w:tcW w:w="3204" w:type="dxa"/>
          </w:tcPr>
          <w:p w:rsidR="00885861" w:rsidRDefault="1AF95ABD" w:rsidP="1AF95ABD">
            <w:pPr>
              <w:adjustRightInd w:val="0"/>
              <w:spacing w:line="276" w:lineRule="auto"/>
              <w:jc w:val="center"/>
              <w:rPr>
                <w:rFonts w:ascii="CIDFont+F1" w:eastAsiaTheme="minorEastAsia" w:hAnsi="CIDFont+F1" w:cs="CIDFont+F1"/>
                <w:color w:val="000000" w:themeColor="text1"/>
              </w:rPr>
            </w:pPr>
            <w:r w:rsidRPr="1AF95ABD">
              <w:rPr>
                <w:rFonts w:ascii="CIDFont+F1" w:eastAsiaTheme="minorEastAsia" w:hAnsi="CIDFont+F1" w:cs="CIDFont+F1"/>
                <w:color w:val="000000" w:themeColor="text1"/>
              </w:rPr>
              <w:t>Sì</w:t>
            </w:r>
          </w:p>
        </w:tc>
      </w:tr>
    </w:tbl>
    <w:p w:rsidR="1AF95ABD" w:rsidRDefault="1AF95ABD"/>
    <w:p w:rsidR="00885861" w:rsidRDefault="1AF95ABD" w:rsidP="1AF95ABD">
      <w:pPr>
        <w:widowControl/>
        <w:adjustRightInd w:val="0"/>
        <w:spacing w:line="276" w:lineRule="auto"/>
        <w:ind w:firstLine="720"/>
        <w:jc w:val="both"/>
        <w:rPr>
          <w:rFonts w:ascii="CIDFont+F1" w:eastAsiaTheme="minorEastAsia" w:hAnsi="CIDFont+F1" w:cs="CIDFont+F1"/>
          <w:color w:val="2F5497"/>
          <w:sz w:val="28"/>
          <w:szCs w:val="28"/>
          <w:lang w:val="it-IT"/>
        </w:rPr>
      </w:pPr>
      <w:r w:rsidRPr="1AF95ABD">
        <w:rPr>
          <w:rFonts w:ascii="CIDFont+F1" w:eastAsiaTheme="minorEastAsia" w:hAnsi="CIDFont+F1" w:cs="CIDFont+F1"/>
          <w:color w:val="2F5497"/>
          <w:sz w:val="28"/>
          <w:szCs w:val="28"/>
          <w:lang w:val="it-IT"/>
        </w:rPr>
        <w:t>2.2.Periodicità dei controlli</w:t>
      </w:r>
    </w:p>
    <w:p w:rsidR="00885861" w:rsidRDefault="1AF95ABD" w:rsidP="1AF95ABD">
      <w:pPr>
        <w:widowControl/>
        <w:adjustRightInd w:val="0"/>
        <w:spacing w:line="276" w:lineRule="auto"/>
        <w:jc w:val="both"/>
        <w:rPr>
          <w:rFonts w:ascii="CIDFont+F1" w:eastAsiaTheme="minorEastAsia" w:hAnsi="CIDFont+F1" w:cs="CIDFont+F1"/>
          <w:color w:val="000000" w:themeColor="text1"/>
          <w:lang w:val="it-IT"/>
        </w:rPr>
      </w:pPr>
      <w:r w:rsidRPr="1AF95ABD">
        <w:rPr>
          <w:rFonts w:ascii="CIDFont+F1" w:eastAsiaTheme="minorEastAsia" w:hAnsi="CIDFont+F1" w:cs="CIDFont+F1"/>
          <w:color w:val="000000" w:themeColor="text1"/>
          <w:lang w:val="it-IT"/>
        </w:rPr>
        <w:t>L’amministratore comunica le risultanze della applicazione del programma nella “Relazione sul Governo Societario” che sarà predisposta annualmente a chiusura dell'esercizio sociale.</w:t>
      </w:r>
    </w:p>
    <w:p w:rsidR="1AF95ABD" w:rsidRDefault="1AF95ABD" w:rsidP="1AF95ABD">
      <w:pPr>
        <w:spacing w:line="276" w:lineRule="auto"/>
        <w:jc w:val="both"/>
        <w:rPr>
          <w:rFonts w:ascii="CIDFont+F1" w:eastAsiaTheme="minorEastAsia" w:hAnsi="CIDFont+F1" w:cs="CIDFont+F1"/>
          <w:color w:val="000000" w:themeColor="text1"/>
          <w:lang w:val="it-IT"/>
        </w:rPr>
      </w:pPr>
    </w:p>
    <w:p w:rsidR="00885861" w:rsidRDefault="00885861" w:rsidP="00885861">
      <w:pPr>
        <w:widowControl/>
        <w:adjustRightInd w:val="0"/>
        <w:spacing w:line="276" w:lineRule="auto"/>
        <w:jc w:val="both"/>
        <w:rPr>
          <w:rFonts w:ascii="CIDFont+F1" w:eastAsiaTheme="minorHAnsi" w:hAnsi="CIDFont+F1" w:cs="CIDFont+F1"/>
          <w:color w:val="2F5497"/>
          <w:sz w:val="28"/>
          <w:szCs w:val="28"/>
          <w:lang w:val="it-IT"/>
        </w:rPr>
      </w:pPr>
      <w:r>
        <w:rPr>
          <w:rFonts w:ascii="CIDFont+F1" w:eastAsiaTheme="minorHAnsi" w:hAnsi="CIDFont+F1" w:cs="CIDFont+F1"/>
          <w:color w:val="2F5497"/>
          <w:sz w:val="28"/>
          <w:szCs w:val="28"/>
          <w:lang w:val="it-IT"/>
        </w:rPr>
        <w:t>3. Azioni di intervento in ipotesi superamento delle soglie di allarme</w:t>
      </w:r>
    </w:p>
    <w:p w:rsidR="00885861" w:rsidRDefault="1AF95ABD" w:rsidP="1AF95ABD">
      <w:pPr>
        <w:widowControl/>
        <w:adjustRightInd w:val="0"/>
        <w:spacing w:line="276" w:lineRule="auto"/>
        <w:jc w:val="both"/>
        <w:rPr>
          <w:rFonts w:ascii="CIDFont+F1" w:eastAsiaTheme="minorEastAsia" w:hAnsi="CIDFont+F1" w:cs="CIDFont+F1"/>
          <w:color w:val="000000" w:themeColor="text1"/>
          <w:lang w:val="it-IT"/>
        </w:rPr>
      </w:pPr>
      <w:r w:rsidRPr="1AF95ABD">
        <w:rPr>
          <w:rFonts w:ascii="CIDFont+F1" w:eastAsiaTheme="minorEastAsia" w:hAnsi="CIDFont+F1" w:cs="CIDFont+F1"/>
          <w:color w:val="000000" w:themeColor="text1"/>
          <w:lang w:val="it-IT"/>
        </w:rPr>
        <w:t xml:space="preserve">In caso di superamento di una delle </w:t>
      </w:r>
      <w:r w:rsidRPr="1AF95ABD">
        <w:rPr>
          <w:rFonts w:ascii="CIDFont+F4" w:eastAsiaTheme="minorEastAsia" w:hAnsi="CIDFont+F4" w:cs="CIDFont+F4"/>
          <w:color w:val="000000" w:themeColor="text1"/>
          <w:lang w:val="it-IT"/>
        </w:rPr>
        <w:t>soglie di allarme</w:t>
      </w:r>
      <w:r w:rsidRPr="1AF95ABD">
        <w:rPr>
          <w:rFonts w:ascii="CIDFont+F1" w:eastAsiaTheme="minorEastAsia" w:hAnsi="CIDFont+F1" w:cs="CIDFont+F1"/>
          <w:color w:val="000000" w:themeColor="text1"/>
          <w:lang w:val="it-IT"/>
        </w:rPr>
        <w:t>, individuate nel paragrafo precedente, l’organo amministrativo illustra il tema nel corso della assemblea convocata per l’approvazione del bilancio. In particolare, l’organo amministrativo illustra le ragioni dell’avvenuto superamento e porta all’attenzione della assemblea un preventivo economico-finanziario di durata almeno quinquennale, necessario a verificare la permanenza delle condizioni di equilibrio e di continuità aziendale.</w:t>
      </w:r>
    </w:p>
    <w:p w:rsidR="00885861" w:rsidRDefault="1AF95ABD" w:rsidP="1AF95ABD">
      <w:pPr>
        <w:widowControl/>
        <w:adjustRightInd w:val="0"/>
        <w:spacing w:line="276" w:lineRule="auto"/>
        <w:jc w:val="both"/>
        <w:rPr>
          <w:rFonts w:ascii="CIDFont+F1" w:eastAsiaTheme="minorEastAsia" w:hAnsi="CIDFont+F1" w:cs="CIDFont+F1"/>
          <w:color w:val="000000" w:themeColor="text1"/>
          <w:lang w:val="it-IT"/>
        </w:rPr>
      </w:pPr>
      <w:r w:rsidRPr="1AF95ABD">
        <w:rPr>
          <w:rFonts w:ascii="CIDFont+F1" w:eastAsiaTheme="minorEastAsia" w:hAnsi="CIDFont+F1" w:cs="CIDFont+F1"/>
          <w:color w:val="000000" w:themeColor="text1"/>
          <w:lang w:val="it-IT"/>
        </w:rPr>
        <w:t>Si precisa che in presenza del supera</w:t>
      </w:r>
      <w:r w:rsidR="0042019A">
        <w:rPr>
          <w:rFonts w:ascii="CIDFont+F1" w:eastAsiaTheme="minorEastAsia" w:hAnsi="CIDFont+F1" w:cs="CIDFont+F1"/>
          <w:color w:val="000000" w:themeColor="text1"/>
          <w:lang w:val="it-IT"/>
        </w:rPr>
        <w:t>mento delle soglie di allarme l’</w:t>
      </w:r>
      <w:r w:rsidRPr="1AF95ABD">
        <w:rPr>
          <w:rFonts w:ascii="CIDFont+F1" w:eastAsiaTheme="minorEastAsia" w:hAnsi="CIDFont+F1" w:cs="CIDFont+F1"/>
          <w:color w:val="000000" w:themeColor="text1"/>
          <w:lang w:val="it-IT"/>
        </w:rPr>
        <w:t>assemblea per l’approvazione del bilancio va tassativamente convocata entro i termini previsti dall’art. 2364 c.c.</w:t>
      </w:r>
    </w:p>
    <w:p w:rsidR="00885861" w:rsidRDefault="1AF95ABD" w:rsidP="1AF95ABD">
      <w:pPr>
        <w:widowControl/>
        <w:adjustRightInd w:val="0"/>
        <w:spacing w:line="276" w:lineRule="auto"/>
        <w:jc w:val="both"/>
        <w:rPr>
          <w:rFonts w:ascii="CIDFont+F1" w:eastAsiaTheme="minorEastAsia" w:hAnsi="CIDFont+F1" w:cs="CIDFont+F1"/>
          <w:color w:val="000000" w:themeColor="text1"/>
          <w:lang w:val="it-IT"/>
        </w:rPr>
      </w:pPr>
      <w:r w:rsidRPr="1AF95ABD">
        <w:rPr>
          <w:rFonts w:ascii="CIDFont+F1" w:eastAsiaTheme="minorEastAsia" w:hAnsi="CIDFont+F1" w:cs="CIDFont+F1"/>
          <w:color w:val="000000" w:themeColor="text1"/>
          <w:lang w:val="it-IT"/>
        </w:rPr>
        <w:t>Qualora, a valle della discussione assembleare, si ritenga che il superamento delle soglie indichi l’insorgenza di una situazione di crisi, l’organo amministrativo dovrà adottare i provvedimenti necessari al fine di prevenire l'aggravamento della crisi, di correggerne gli effetti ed eliminarne le cause, attraverso un idoneo piano di risanamento.</w:t>
      </w:r>
    </w:p>
    <w:p w:rsidR="00885861" w:rsidRDefault="1AF95ABD" w:rsidP="1AF95ABD">
      <w:pPr>
        <w:widowControl/>
        <w:adjustRightInd w:val="0"/>
        <w:spacing w:line="276" w:lineRule="auto"/>
        <w:jc w:val="both"/>
        <w:rPr>
          <w:rFonts w:ascii="CIDFont+F1" w:eastAsiaTheme="minorEastAsia" w:hAnsi="CIDFont+F1" w:cs="CIDFont+F1"/>
          <w:color w:val="000000" w:themeColor="text1"/>
          <w:lang w:val="it-IT"/>
        </w:rPr>
      </w:pPr>
      <w:r w:rsidRPr="1AF95ABD">
        <w:rPr>
          <w:rFonts w:ascii="CIDFont+F1" w:eastAsiaTheme="minorEastAsia" w:hAnsi="CIDFont+F1" w:cs="CIDFont+F1"/>
          <w:color w:val="000000" w:themeColor="text1"/>
          <w:lang w:val="it-IT"/>
        </w:rPr>
        <w:t>Il piano di risanamento dovrà prevedere un piano di ristrutturazione aziendale da cui risulta comprovata la sussistenza di concrete prospettive di recupero dell’equilibrio economico-finanziario della società e non potrà essere limitato al ricorso alle ricapitalizzazioni. Il piano dovrà dimostrare l’esistenza di tali condizioni attraverso la redazione di un bilancio preventivo contenente la previsione sia dei flussi finanziari che di quelli reddituali.</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L’inerzia degli amministratori della società nell’adottare il piano e le azioni necessarie, così come</w:t>
      </w:r>
    </w:p>
    <w:p w:rsidR="00885861" w:rsidRDefault="00885861" w:rsidP="00885861">
      <w:pPr>
        <w:widowControl/>
        <w:adjustRightInd w:val="0"/>
        <w:spacing w:line="276" w:lineRule="auto"/>
        <w:jc w:val="both"/>
        <w:rPr>
          <w:rFonts w:ascii="CIDFont+F1" w:eastAsiaTheme="minorHAnsi" w:hAnsi="CIDFont+F1" w:cs="CIDFont+F1"/>
          <w:color w:val="000000"/>
          <w:lang w:val="it-IT"/>
        </w:rPr>
      </w:pPr>
      <w:r>
        <w:rPr>
          <w:rFonts w:ascii="CIDFont+F1" w:eastAsiaTheme="minorHAnsi" w:hAnsi="CIDFont+F1" w:cs="CIDFont+F1"/>
          <w:color w:val="000000"/>
          <w:lang w:val="it-IT"/>
        </w:rPr>
        <w:t>quella degli amministratori del socio, nel rispetto dei rispettivi ruoli e doveri, costituisce grave</w:t>
      </w:r>
    </w:p>
    <w:p w:rsidR="00263500" w:rsidRPr="00704F05" w:rsidRDefault="1AF95ABD" w:rsidP="1AF95ABD">
      <w:pPr>
        <w:spacing w:before="5" w:line="276" w:lineRule="auto"/>
        <w:jc w:val="both"/>
        <w:rPr>
          <w:rFonts w:ascii="Times New Roman" w:hAnsi="Times New Roman"/>
          <w:b/>
          <w:bCs/>
          <w:color w:val="2D74B5"/>
          <w:sz w:val="18"/>
          <w:szCs w:val="18"/>
        </w:rPr>
      </w:pPr>
      <w:r w:rsidRPr="1AF95ABD">
        <w:rPr>
          <w:rFonts w:ascii="CIDFont+F1" w:eastAsiaTheme="minorEastAsia" w:hAnsi="CIDFont+F1" w:cs="CIDFont+F1"/>
          <w:color w:val="000000" w:themeColor="text1"/>
          <w:lang w:val="it-IT"/>
        </w:rPr>
        <w:t xml:space="preserve">irregolarità ai sensi dell'articolo 2409 del codice civile nonché assume rilievo, ai fini delle responsabilità di cui dell'articolo 12 del </w:t>
      </w:r>
      <w:proofErr w:type="spellStart"/>
      <w:r w:rsidRPr="1AF95ABD">
        <w:rPr>
          <w:rFonts w:ascii="CIDFont+F1" w:eastAsiaTheme="minorEastAsia" w:hAnsi="CIDFont+F1" w:cs="CIDFont+F1"/>
          <w:color w:val="000000" w:themeColor="text1"/>
          <w:lang w:val="it-IT"/>
        </w:rPr>
        <w:t>Dlgs</w:t>
      </w:r>
      <w:proofErr w:type="spellEnd"/>
      <w:r w:rsidRPr="1AF95ABD">
        <w:rPr>
          <w:rFonts w:ascii="CIDFont+F1" w:eastAsiaTheme="minorEastAsia" w:hAnsi="CIDFont+F1" w:cs="CIDFont+F1"/>
          <w:color w:val="000000" w:themeColor="text1"/>
          <w:lang w:val="it-IT"/>
        </w:rPr>
        <w:t xml:space="preserve"> 175/2016 (Responsabilità degli enti partecipanti e dei componenti degli organi delle società partecipate).</w:t>
      </w:r>
    </w:p>
    <w:sectPr w:rsidR="00263500" w:rsidRPr="00704F05" w:rsidSect="003C36E3">
      <w:headerReference w:type="default" r:id="rId8"/>
      <w:footerReference w:type="default" r:id="rId9"/>
      <w:pgSz w:w="11910" w:h="16840"/>
      <w:pgMar w:top="1280" w:right="1220" w:bottom="1180" w:left="1220" w:header="0" w:footer="9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A1" w:rsidRDefault="00DF37A1">
      <w:r>
        <w:separator/>
      </w:r>
    </w:p>
  </w:endnote>
  <w:endnote w:type="continuationSeparator" w:id="0">
    <w:p w:rsidR="00DF37A1" w:rsidRDefault="00DF37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F7" w:rsidRPr="00B10100" w:rsidRDefault="00AA50F7" w:rsidP="00AA50F7">
    <w:pPr>
      <w:spacing w:before="5"/>
      <w:ind w:left="526" w:right="471"/>
      <w:jc w:val="center"/>
      <w:rPr>
        <w:rFonts w:ascii="Garamond" w:hAnsi="Garamond"/>
        <w:b/>
        <w:color w:val="1F497D" w:themeColor="text2"/>
        <w:sz w:val="14"/>
      </w:rPr>
    </w:pPr>
    <w:r>
      <w:rPr>
        <w:rFonts w:ascii="Garamond" w:hAnsi="Garamond"/>
        <w:b/>
        <w:noProof/>
        <w:color w:val="1F497D" w:themeColor="text2"/>
        <w:sz w:val="14"/>
        <w:lang w:val="it-IT" w:eastAsia="it-IT"/>
      </w:rPr>
      <w:drawing>
        <wp:anchor distT="0" distB="0" distL="114300" distR="114300" simplePos="0" relativeHeight="251657216" behindDoc="0" locked="0" layoutInCell="1" allowOverlap="1">
          <wp:simplePos x="0" y="0"/>
          <wp:positionH relativeFrom="column">
            <wp:posOffset>2868740</wp:posOffset>
          </wp:positionH>
          <wp:positionV relativeFrom="paragraph">
            <wp:posOffset>79375</wp:posOffset>
          </wp:positionV>
          <wp:extent cx="273050" cy="357505"/>
          <wp:effectExtent l="0" t="0" r="0" b="0"/>
          <wp:wrapSquare wrapText="bothSides"/>
          <wp:docPr id="8" name="Immagin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050" cy="357505"/>
                  </a:xfrm>
                  <a:prstGeom prst="rect">
                    <a:avLst/>
                  </a:prstGeom>
                  <a:noFill/>
                  <a:ln>
                    <a:noFill/>
                  </a:ln>
                </pic:spPr>
              </pic:pic>
            </a:graphicData>
          </a:graphic>
        </wp:anchor>
      </w:drawing>
    </w:r>
  </w:p>
  <w:p w:rsidR="00263500" w:rsidRDefault="00B633A3">
    <w:pPr>
      <w:pStyle w:val="Corpodeltesto"/>
      <w:spacing w:line="14" w:lineRule="auto"/>
      <w:rPr>
        <w:sz w:val="20"/>
      </w:rPr>
    </w:pPr>
    <w:r w:rsidRPr="00B633A3">
      <w:rPr>
        <w:noProof/>
      </w:rPr>
      <w:pict>
        <v:shapetype id="_x0000_t202" coordsize="21600,21600" o:spt="202" path="m,l,21600r21600,l21600,xe">
          <v:stroke joinstyle="miter"/>
          <v:path gradientshapeok="t" o:connecttype="rect"/>
        </v:shapetype>
        <v:shape id="Text Box 4" o:spid="_x0000_s6146" type="#_x0000_t202" style="position:absolute;margin-left:128.95pt;margin-top:26.65pt;width:227.85pt;height:2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93t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TCKk8t5MsOoBFsUx0k0cyFoerzdK23eMdkh&#10;u8iwgs47dLq/08ZmQ9Ojiw0mZMHb1nW/Fc8OwHE6gdhw1dpsFq6ZP5IgWcfrmHgkmq89EuS5d1Os&#10;iDcvwsUsv8xXqzz8aeOGJG14VTFhwxyFFZI/a9xB4pMkTtLSsuWVhbMpabXdrFqF9hSEXbjvUJAz&#10;N/95Gq4IwOUFpTAiwW2UeMU8XnikIDMvWQSxF4TJbTIPSELy4jmlOy7Yv1NCQ4aTGfTR0fktt8B9&#10;r7nRtOMGRkfLuwzHJyeaWgmuReVaayhvp/VZKWz6T6WAdh8b7QRrNTqp1YybEVCsijeyegTpKgnK&#10;An3CvINFI9V3jAaYHRnW33ZUMYza9wLkn4SE2GHjNmS2iGCjzi2bcwsVJUBl2GA0LVdmGlC7XvFt&#10;A5GmByfkDTyZmjs1P2V1eGgwHxypwyyzA+h877yeJu7yFwAAAP//AwBQSwMEFAAGAAgAAAAhAEzQ&#10;jJPfAAAACQEAAA8AAABkcnMvZG93bnJldi54bWxMj8tOwzAQRfdI/IM1SOyo3Ya0ScikQiC2oJaH&#10;xM6Np0lEPI5itwl/j1nBcnSP7j1TbmfbizONvnOMsFwoEMS1Mx03CG+vTzcZCB80G907JoRv8rCt&#10;Li9KXRg38Y7O+9CIWMK+0AhtCEMhpa9bstov3EAcs6MbrQ7xHBtpRj3FctvLlVJraXXHcaHVAz20&#10;VH/tTxbh/fn4+XGrXppHmw6Tm5Vkm0vE66v5/g5EoDn8wfCrH9Whik4Hd2LjRY+wSjd5RBHSJAER&#10;gc0yWYM4IORZBrIq5f8Pqh8AAAD//wMAUEsBAi0AFAAGAAgAAAAhALaDOJL+AAAA4QEAABMAAAAA&#10;AAAAAAAAAAAAAAAAAFtDb250ZW50X1R5cGVzXS54bWxQSwECLQAUAAYACAAAACEAOP0h/9YAAACU&#10;AQAACwAAAAAAAAAAAAAAAAAvAQAAX3JlbHMvLnJlbHNQSwECLQAUAAYACAAAACEAhRVvd7UCAAC5&#10;BQAADgAAAAAAAAAAAAAAAAAuAgAAZHJzL2Uyb0RvYy54bWxQSwECLQAUAAYACAAAACEATNCMk98A&#10;AAAJAQAADwAAAAAAAAAAAAAAAAAPBQAAZHJzL2Rvd25yZXYueG1sUEsFBgAAAAAEAAQA8wAAABsG&#10;AAAAAA==&#10;" filled="f" stroked="f">
          <v:textbox style="mso-next-textbox:#Text Box 4">
            <w:txbxContent>
              <w:p w:rsidR="00AA50F7" w:rsidRDefault="00AA50F7" w:rsidP="00AA50F7">
                <w:pPr>
                  <w:jc w:val="center"/>
                </w:pPr>
                <w:r w:rsidRPr="00B10100">
                  <w:rPr>
                    <w:rFonts w:ascii="Garamond" w:hAnsi="Garamond"/>
                    <w:b/>
                    <w:color w:val="1F497D" w:themeColor="text2"/>
                    <w:sz w:val="14"/>
                  </w:rPr>
                  <w:t>SOCIETÀ IN HOUSE DEL COMUNE DI CASTELLABATE</w:t>
                </w:r>
              </w:p>
            </w:txbxContent>
          </v:textbox>
        </v:shape>
      </w:pict>
    </w:r>
    <w:r w:rsidRPr="00B633A3">
      <w:rPr>
        <w:noProof/>
      </w:rPr>
      <w:pict>
        <v:shape id="Text Box 1" o:spid="_x0000_s6145" type="#_x0000_t202" style="position:absolute;margin-left:521.2pt;margin-top:781pt;width:9.6pt;height:13.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M6d1eviAAAADwEA&#10;AA8AAABkcnMvZG93bnJldi54bWxMj8FugzAQRO+V8g/WRuqtsUGpRSkmiqr2VKkqoYceDTiAgtcU&#10;Own9+y6n5razO5p9k+1mO7CLmXzvUEG0EcAM1q7psVXwVb49JMB80NjowaFR8Gs87PLVXabTxl2x&#10;MJdDaBmFoE+1gi6EMeXc152x2m/caJBuRzdZHUhOLW8mfaVwO/BYCMmt7pE+dHo0L52pT4ezVbD/&#10;xuK1//moPotj0Zflk8B3eVLqfj3vn4EFM4d/Myz4hA45MVXujI1nA2mxjbfkpelRxlRr8QgZSWDV&#10;skuSCHie8dse+R8AAAD//wMAUEsBAi0AFAAGAAgAAAAhALaDOJL+AAAA4QEAABMAAAAAAAAAAAAA&#10;AAAAAAAAAFtDb250ZW50X1R5cGVzXS54bWxQSwECLQAUAAYACAAAACEAOP0h/9YAAACUAQAACwAA&#10;AAAAAAAAAAAAAAAvAQAAX3JlbHMvLnJlbHNQSwECLQAUAAYACAAAACEAYEjmUawCAACvBQAADgAA&#10;AAAAAAAAAAAAAAAuAgAAZHJzL2Uyb0RvYy54bWxQSwECLQAUAAYACAAAACEAzp3V6+IAAAAPAQAA&#10;DwAAAAAAAAAAAAAAAAAGBQAAZHJzL2Rvd25yZXYueG1sUEsFBgAAAAAEAAQA8wAAABUGAAAAAA==&#10;" filled="f" stroked="f">
          <v:textbox style="mso-next-textbox:#Text Box 1" inset="0,0,0,0">
            <w:txbxContent>
              <w:p w:rsidR="00263500" w:rsidRDefault="00B633A3">
                <w:pPr>
                  <w:spacing w:line="245" w:lineRule="exact"/>
                  <w:ind w:left="40"/>
                </w:pPr>
                <w:r>
                  <w:fldChar w:fldCharType="begin"/>
                </w:r>
                <w:r w:rsidR="0097520D">
                  <w:instrText xml:space="preserve"> PAGE </w:instrText>
                </w:r>
                <w:r>
                  <w:fldChar w:fldCharType="separate"/>
                </w:r>
                <w:r w:rsidR="00E05524">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A1" w:rsidRDefault="00DF37A1">
      <w:bookmarkStart w:id="0" w:name="_Hlk486583123"/>
      <w:bookmarkEnd w:id="0"/>
      <w:r>
        <w:separator/>
      </w:r>
    </w:p>
  </w:footnote>
  <w:footnote w:type="continuationSeparator" w:id="0">
    <w:p w:rsidR="00DF37A1" w:rsidRDefault="00DF37A1">
      <w:r>
        <w:continuationSeparator/>
      </w:r>
    </w:p>
  </w:footnote>
  <w:footnote w:id="1">
    <w:p w:rsidR="00885861" w:rsidRPr="00885861" w:rsidRDefault="00885861" w:rsidP="00885861">
      <w:pPr>
        <w:pStyle w:val="Testonotaapidipagina"/>
      </w:pPr>
      <w:r>
        <w:rPr>
          <w:rStyle w:val="Rimandonotaapidipagina"/>
        </w:rPr>
        <w:footnoteRef/>
      </w:r>
      <w:r>
        <w:t xml:space="preserve"> </w:t>
      </w:r>
      <w:r w:rsidRPr="00885861">
        <w:t xml:space="preserve">Linee guida per la definizione di una misurazione del rischio ai sensi dell’art. 6, </w:t>
      </w:r>
      <w:proofErr w:type="spellStart"/>
      <w:r w:rsidRPr="00885861">
        <w:t>co</w:t>
      </w:r>
      <w:proofErr w:type="spellEnd"/>
      <w:r w:rsidRPr="00885861">
        <w:t xml:space="preserve">. 2 e dell’art. 14, </w:t>
      </w:r>
      <w:proofErr w:type="spellStart"/>
      <w:r w:rsidRPr="00885861">
        <w:t>co</w:t>
      </w:r>
      <w:proofErr w:type="spellEnd"/>
      <w:r w:rsidRPr="00885861">
        <w:t>. 2</w:t>
      </w:r>
    </w:p>
    <w:p w:rsidR="00885861" w:rsidRDefault="00885861">
      <w:pPr>
        <w:pStyle w:val="Testonotaapidipagina"/>
      </w:pPr>
      <w:r w:rsidRPr="00885861">
        <w:t>de</w:t>
      </w:r>
      <w:r>
        <w:t xml:space="preserve">l </w:t>
      </w:r>
      <w:proofErr w:type="spellStart"/>
      <w:r>
        <w:t>D.Lgs.</w:t>
      </w:r>
      <w:proofErr w:type="spellEnd"/>
      <w:r>
        <w:t xml:space="preserve"> 175/2016 (</w:t>
      </w:r>
      <w:proofErr w:type="spellStart"/>
      <w:r>
        <w:t>Utilitalia</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00" w:rsidRDefault="00704F05" w:rsidP="00B10100">
    <w:pPr>
      <w:spacing w:before="5" w:line="207" w:lineRule="exact"/>
      <w:ind w:left="526" w:right="471"/>
      <w:jc w:val="center"/>
      <w:rPr>
        <w:rFonts w:ascii="Times New Roman" w:hAnsi="Times New Roman"/>
        <w:b/>
        <w:color w:val="2D74B5"/>
        <w:sz w:val="18"/>
      </w:rPr>
    </w:pPr>
    <w:r w:rsidRPr="00B10100">
      <w:rPr>
        <w:rFonts w:ascii="Garamond" w:hAnsi="Garamond"/>
        <w:noProof/>
        <w:color w:val="1F497D" w:themeColor="text2"/>
        <w:sz w:val="18"/>
        <w:lang w:val="it-IT" w:eastAsia="it-IT"/>
      </w:rPr>
      <w:drawing>
        <wp:anchor distT="0" distB="0" distL="114300" distR="114300" simplePos="0" relativeHeight="251656192" behindDoc="0" locked="0" layoutInCell="1" allowOverlap="1">
          <wp:simplePos x="0" y="0"/>
          <wp:positionH relativeFrom="column">
            <wp:posOffset>2292350</wp:posOffset>
          </wp:positionH>
          <wp:positionV relativeFrom="paragraph">
            <wp:posOffset>-247015</wp:posOffset>
          </wp:positionV>
          <wp:extent cx="1247775" cy="981075"/>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astellabate_servizi.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7775" cy="981075"/>
                  </a:xfrm>
                  <a:prstGeom prst="rect">
                    <a:avLst/>
                  </a:prstGeom>
                </pic:spPr>
              </pic:pic>
            </a:graphicData>
          </a:graphic>
        </wp:anchor>
      </w:drawing>
    </w:r>
  </w:p>
  <w:p w:rsidR="00B10100" w:rsidRDefault="00B10100" w:rsidP="00B10100">
    <w:pPr>
      <w:spacing w:before="5" w:line="207" w:lineRule="exact"/>
      <w:ind w:left="526" w:right="471"/>
      <w:jc w:val="center"/>
      <w:rPr>
        <w:rFonts w:ascii="Times New Roman" w:hAnsi="Times New Roman"/>
        <w:b/>
        <w:color w:val="2D74B5"/>
        <w:sz w:val="18"/>
      </w:rPr>
    </w:pPr>
  </w:p>
  <w:p w:rsidR="00704F05" w:rsidRDefault="00704F05" w:rsidP="00B10100">
    <w:pPr>
      <w:spacing w:before="5"/>
      <w:ind w:left="526" w:right="471"/>
      <w:jc w:val="center"/>
      <w:rPr>
        <w:rFonts w:ascii="Garamond" w:hAnsi="Garamond"/>
        <w:b/>
        <w:color w:val="1F497D" w:themeColor="text2"/>
        <w:sz w:val="14"/>
      </w:rPr>
    </w:pPr>
  </w:p>
  <w:p w:rsidR="00704F05" w:rsidRDefault="00704F05" w:rsidP="00B10100">
    <w:pPr>
      <w:spacing w:before="5"/>
      <w:ind w:left="526" w:right="471"/>
      <w:jc w:val="center"/>
      <w:rPr>
        <w:rFonts w:ascii="Garamond" w:hAnsi="Garamond"/>
        <w:b/>
        <w:color w:val="1F497D" w:themeColor="text2"/>
        <w:sz w:val="14"/>
      </w:rPr>
    </w:pPr>
  </w:p>
  <w:p w:rsidR="00704F05" w:rsidRDefault="00704F05" w:rsidP="00AA50F7">
    <w:pPr>
      <w:spacing w:before="5"/>
      <w:ind w:left="526" w:right="471"/>
      <w:rPr>
        <w:rFonts w:ascii="Garamond" w:hAnsi="Garamond"/>
        <w:b/>
        <w:color w:val="1F497D" w:themeColor="text2"/>
        <w:sz w:val="14"/>
      </w:rPr>
    </w:pPr>
  </w:p>
  <w:p w:rsidR="00704F05" w:rsidRDefault="00704F05" w:rsidP="00B10100">
    <w:pPr>
      <w:spacing w:before="5"/>
      <w:ind w:left="526" w:right="471"/>
      <w:jc w:val="center"/>
      <w:rPr>
        <w:rFonts w:ascii="Garamond" w:hAnsi="Garamond"/>
        <w:b/>
        <w:color w:val="1F497D" w:themeColor="text2"/>
        <w:sz w:val="14"/>
      </w:rPr>
    </w:pPr>
  </w:p>
  <w:p w:rsidR="00D4503D" w:rsidRDefault="00D4503D" w:rsidP="00B10100">
    <w:pPr>
      <w:ind w:left="1854" w:right="1851"/>
      <w:jc w:val="center"/>
      <w:rPr>
        <w:rFonts w:ascii="Garamond" w:hAnsi="Garamond"/>
        <w:b/>
        <w:color w:val="1F497D" w:themeColor="text2"/>
        <w:sz w:val="14"/>
      </w:rPr>
    </w:pPr>
  </w:p>
  <w:p w:rsidR="00B10100" w:rsidRPr="00B10100" w:rsidRDefault="00B10100" w:rsidP="00B10100">
    <w:pPr>
      <w:ind w:left="1854" w:right="1851"/>
      <w:jc w:val="center"/>
      <w:rPr>
        <w:rFonts w:ascii="Garamond" w:hAnsi="Garamond"/>
        <w:b/>
        <w:color w:val="1F497D" w:themeColor="text2"/>
        <w:sz w:val="14"/>
      </w:rPr>
    </w:pPr>
    <w:r w:rsidRPr="00B10100">
      <w:rPr>
        <w:rFonts w:ascii="Garamond" w:hAnsi="Garamond"/>
        <w:b/>
        <w:color w:val="1F497D" w:themeColor="text2"/>
        <w:sz w:val="14"/>
      </w:rPr>
      <w:t xml:space="preserve">Via Roma n.5 - 84048  </w:t>
    </w:r>
    <w:proofErr w:type="spellStart"/>
    <w:r w:rsidRPr="00B10100">
      <w:rPr>
        <w:rFonts w:ascii="Garamond" w:hAnsi="Garamond"/>
        <w:b/>
        <w:color w:val="1F497D" w:themeColor="text2"/>
        <w:sz w:val="14"/>
      </w:rPr>
      <w:t>Castellabate</w:t>
    </w:r>
    <w:proofErr w:type="spellEnd"/>
    <w:r w:rsidRPr="00B10100">
      <w:rPr>
        <w:rFonts w:ascii="Garamond" w:hAnsi="Garamond"/>
        <w:b/>
        <w:color w:val="1F497D" w:themeColor="text2"/>
        <w:sz w:val="14"/>
      </w:rPr>
      <w:t xml:space="preserve"> (SA)</w:t>
    </w:r>
  </w:p>
  <w:p w:rsidR="00B10100" w:rsidRPr="00B10100" w:rsidRDefault="00B10100" w:rsidP="00B10100">
    <w:pPr>
      <w:ind w:left="526" w:right="522"/>
      <w:jc w:val="center"/>
      <w:rPr>
        <w:rFonts w:ascii="Garamond" w:hAnsi="Garamond"/>
        <w:b/>
        <w:color w:val="1F497D" w:themeColor="text2"/>
        <w:sz w:val="14"/>
      </w:rPr>
    </w:pPr>
    <w:proofErr w:type="spellStart"/>
    <w:r w:rsidRPr="00B10100">
      <w:rPr>
        <w:rFonts w:ascii="Garamond" w:hAnsi="Garamond"/>
        <w:b/>
        <w:color w:val="1F497D" w:themeColor="text2"/>
        <w:sz w:val="14"/>
      </w:rPr>
      <w:t>Capitale</w:t>
    </w:r>
    <w:proofErr w:type="spellEnd"/>
    <w:r w:rsidRPr="00B10100">
      <w:rPr>
        <w:rFonts w:ascii="Garamond" w:hAnsi="Garamond"/>
        <w:b/>
        <w:color w:val="1F497D" w:themeColor="text2"/>
        <w:sz w:val="14"/>
      </w:rPr>
      <w:t xml:space="preserve"> </w:t>
    </w:r>
    <w:proofErr w:type="spellStart"/>
    <w:r w:rsidRPr="00B10100">
      <w:rPr>
        <w:rFonts w:ascii="Garamond" w:hAnsi="Garamond"/>
        <w:b/>
        <w:color w:val="1F497D" w:themeColor="text2"/>
        <w:sz w:val="14"/>
      </w:rPr>
      <w:t>sociale</w:t>
    </w:r>
    <w:proofErr w:type="spellEnd"/>
    <w:r w:rsidRPr="00B10100">
      <w:rPr>
        <w:rFonts w:ascii="Garamond" w:hAnsi="Garamond"/>
        <w:b/>
        <w:color w:val="1F497D" w:themeColor="text2"/>
        <w:sz w:val="14"/>
      </w:rPr>
      <w:t xml:space="preserve"> euro € 40.000,00 </w:t>
    </w:r>
    <w:proofErr w:type="spellStart"/>
    <w:r w:rsidRPr="00B10100">
      <w:rPr>
        <w:rFonts w:ascii="Garamond" w:hAnsi="Garamond"/>
        <w:b/>
        <w:color w:val="1F497D" w:themeColor="text2"/>
        <w:sz w:val="14"/>
      </w:rPr>
      <w:t>i.v</w:t>
    </w:r>
    <w:proofErr w:type="spellEnd"/>
    <w:r w:rsidRPr="00B10100">
      <w:rPr>
        <w:rFonts w:ascii="Garamond" w:hAnsi="Garamond"/>
        <w:b/>
        <w:color w:val="1F497D" w:themeColor="text2"/>
        <w:sz w:val="14"/>
      </w:rPr>
      <w:t xml:space="preserve">. </w:t>
    </w:r>
  </w:p>
  <w:p w:rsidR="00B10100" w:rsidRPr="00B10100" w:rsidRDefault="00B10100" w:rsidP="00B10100">
    <w:pPr>
      <w:ind w:left="526" w:right="522"/>
      <w:jc w:val="center"/>
      <w:rPr>
        <w:rFonts w:ascii="Garamond" w:hAnsi="Garamond"/>
        <w:b/>
        <w:color w:val="1F497D" w:themeColor="text2"/>
        <w:sz w:val="14"/>
      </w:rPr>
    </w:pPr>
    <w:r w:rsidRPr="00B10100">
      <w:rPr>
        <w:rFonts w:ascii="Garamond" w:hAnsi="Garamond"/>
        <w:b/>
        <w:color w:val="1F497D" w:themeColor="text2"/>
        <w:sz w:val="14"/>
      </w:rPr>
      <w:t xml:space="preserve">Partita IVA e </w:t>
    </w:r>
    <w:proofErr w:type="spellStart"/>
    <w:r w:rsidRPr="00B10100">
      <w:rPr>
        <w:rFonts w:ascii="Garamond" w:hAnsi="Garamond"/>
        <w:b/>
        <w:color w:val="1F497D" w:themeColor="text2"/>
        <w:sz w:val="14"/>
      </w:rPr>
      <w:t>Codice</w:t>
    </w:r>
    <w:proofErr w:type="spellEnd"/>
    <w:r w:rsidRPr="00B10100">
      <w:rPr>
        <w:rFonts w:ascii="Garamond" w:hAnsi="Garamond"/>
        <w:b/>
        <w:color w:val="1F497D" w:themeColor="text2"/>
        <w:sz w:val="14"/>
      </w:rPr>
      <w:t xml:space="preserve"> </w:t>
    </w:r>
    <w:proofErr w:type="spellStart"/>
    <w:r w:rsidRPr="00B10100">
      <w:rPr>
        <w:rFonts w:ascii="Garamond" w:hAnsi="Garamond"/>
        <w:b/>
        <w:color w:val="1F497D" w:themeColor="text2"/>
        <w:sz w:val="14"/>
      </w:rPr>
      <w:t>Fiscale</w:t>
    </w:r>
    <w:proofErr w:type="spellEnd"/>
    <w:r w:rsidRPr="00B10100">
      <w:rPr>
        <w:rFonts w:ascii="Garamond" w:hAnsi="Garamond"/>
        <w:b/>
        <w:color w:val="1F497D" w:themeColor="text2"/>
        <w:sz w:val="14"/>
      </w:rPr>
      <w:t xml:space="preserve"> 05610330655</w:t>
    </w:r>
  </w:p>
  <w:p w:rsidR="00B10100" w:rsidRDefault="00B10100" w:rsidP="00B10100">
    <w:pPr>
      <w:pStyle w:val="Intestazione"/>
      <w:jc w:val="center"/>
    </w:pPr>
  </w:p>
  <w:p w:rsidR="00B10100" w:rsidRDefault="00B1010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6751"/>
    <w:multiLevelType w:val="hybridMultilevel"/>
    <w:tmpl w:val="CC34A0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37252C"/>
    <w:multiLevelType w:val="hybridMultilevel"/>
    <w:tmpl w:val="9B9AE060"/>
    <w:lvl w:ilvl="0" w:tplc="6F381CAE">
      <w:start w:val="1"/>
      <w:numFmt w:val="lowerLetter"/>
      <w:lvlText w:val="%1)"/>
      <w:lvlJc w:val="left"/>
      <w:pPr>
        <w:ind w:left="114" w:hanging="212"/>
      </w:pPr>
      <w:rPr>
        <w:rFonts w:ascii="Calibri" w:eastAsia="Calibri" w:hAnsi="Calibri" w:cs="Calibri" w:hint="default"/>
        <w:w w:val="100"/>
        <w:sz w:val="21"/>
        <w:szCs w:val="21"/>
      </w:rPr>
    </w:lvl>
    <w:lvl w:ilvl="1" w:tplc="8778A33C">
      <w:numFmt w:val="bullet"/>
      <w:lvlText w:val="•"/>
      <w:lvlJc w:val="left"/>
      <w:pPr>
        <w:ind w:left="1054" w:hanging="212"/>
      </w:pPr>
      <w:rPr>
        <w:rFonts w:hint="default"/>
      </w:rPr>
    </w:lvl>
    <w:lvl w:ilvl="2" w:tplc="C856139C">
      <w:numFmt w:val="bullet"/>
      <w:lvlText w:val="•"/>
      <w:lvlJc w:val="left"/>
      <w:pPr>
        <w:ind w:left="1988" w:hanging="212"/>
      </w:pPr>
      <w:rPr>
        <w:rFonts w:hint="default"/>
      </w:rPr>
    </w:lvl>
    <w:lvl w:ilvl="3" w:tplc="B6046998">
      <w:numFmt w:val="bullet"/>
      <w:lvlText w:val="•"/>
      <w:lvlJc w:val="left"/>
      <w:pPr>
        <w:ind w:left="2923" w:hanging="212"/>
      </w:pPr>
      <w:rPr>
        <w:rFonts w:hint="default"/>
      </w:rPr>
    </w:lvl>
    <w:lvl w:ilvl="4" w:tplc="6F965014">
      <w:numFmt w:val="bullet"/>
      <w:lvlText w:val="•"/>
      <w:lvlJc w:val="left"/>
      <w:pPr>
        <w:ind w:left="3857" w:hanging="212"/>
      </w:pPr>
      <w:rPr>
        <w:rFonts w:hint="default"/>
      </w:rPr>
    </w:lvl>
    <w:lvl w:ilvl="5" w:tplc="9F646FAC">
      <w:numFmt w:val="bullet"/>
      <w:lvlText w:val="•"/>
      <w:lvlJc w:val="left"/>
      <w:pPr>
        <w:ind w:left="4792" w:hanging="212"/>
      </w:pPr>
      <w:rPr>
        <w:rFonts w:hint="default"/>
      </w:rPr>
    </w:lvl>
    <w:lvl w:ilvl="6" w:tplc="B6AEABF8">
      <w:numFmt w:val="bullet"/>
      <w:lvlText w:val="•"/>
      <w:lvlJc w:val="left"/>
      <w:pPr>
        <w:ind w:left="5726" w:hanging="212"/>
      </w:pPr>
      <w:rPr>
        <w:rFonts w:hint="default"/>
      </w:rPr>
    </w:lvl>
    <w:lvl w:ilvl="7" w:tplc="B598254A">
      <w:numFmt w:val="bullet"/>
      <w:lvlText w:val="•"/>
      <w:lvlJc w:val="left"/>
      <w:pPr>
        <w:ind w:left="6660" w:hanging="212"/>
      </w:pPr>
      <w:rPr>
        <w:rFonts w:hint="default"/>
      </w:rPr>
    </w:lvl>
    <w:lvl w:ilvl="8" w:tplc="FC96A31A">
      <w:numFmt w:val="bullet"/>
      <w:lvlText w:val="•"/>
      <w:lvlJc w:val="left"/>
      <w:pPr>
        <w:ind w:left="7595" w:hanging="212"/>
      </w:pPr>
      <w:rPr>
        <w:rFonts w:hint="default"/>
      </w:rPr>
    </w:lvl>
  </w:abstractNum>
  <w:abstractNum w:abstractNumId="2">
    <w:nsid w:val="4064766F"/>
    <w:multiLevelType w:val="hybridMultilevel"/>
    <w:tmpl w:val="8DE61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0637F4"/>
    <w:multiLevelType w:val="hybridMultilevel"/>
    <w:tmpl w:val="9600F146"/>
    <w:lvl w:ilvl="0" w:tplc="A8E04A02">
      <w:start w:val="1"/>
      <w:numFmt w:val="lowerLetter"/>
      <w:lvlText w:val="%1)"/>
      <w:lvlJc w:val="left"/>
      <w:pPr>
        <w:ind w:left="835" w:hanging="361"/>
      </w:pPr>
      <w:rPr>
        <w:rFonts w:ascii="Calibri" w:eastAsia="Calibri" w:hAnsi="Calibri" w:cs="Calibri" w:hint="default"/>
        <w:spacing w:val="-1"/>
        <w:w w:val="100"/>
        <w:sz w:val="21"/>
        <w:szCs w:val="21"/>
      </w:rPr>
    </w:lvl>
    <w:lvl w:ilvl="1" w:tplc="885EF1D4">
      <w:numFmt w:val="bullet"/>
      <w:lvlText w:val="•"/>
      <w:lvlJc w:val="left"/>
      <w:pPr>
        <w:ind w:left="1702" w:hanging="361"/>
      </w:pPr>
      <w:rPr>
        <w:rFonts w:hint="default"/>
      </w:rPr>
    </w:lvl>
    <w:lvl w:ilvl="2" w:tplc="123261AE">
      <w:numFmt w:val="bullet"/>
      <w:lvlText w:val="•"/>
      <w:lvlJc w:val="left"/>
      <w:pPr>
        <w:ind w:left="2564" w:hanging="361"/>
      </w:pPr>
      <w:rPr>
        <w:rFonts w:hint="default"/>
      </w:rPr>
    </w:lvl>
    <w:lvl w:ilvl="3" w:tplc="A8D44820">
      <w:numFmt w:val="bullet"/>
      <w:lvlText w:val="•"/>
      <w:lvlJc w:val="left"/>
      <w:pPr>
        <w:ind w:left="3427" w:hanging="361"/>
      </w:pPr>
      <w:rPr>
        <w:rFonts w:hint="default"/>
      </w:rPr>
    </w:lvl>
    <w:lvl w:ilvl="4" w:tplc="88B40B4E">
      <w:numFmt w:val="bullet"/>
      <w:lvlText w:val="•"/>
      <w:lvlJc w:val="left"/>
      <w:pPr>
        <w:ind w:left="4289" w:hanging="361"/>
      </w:pPr>
      <w:rPr>
        <w:rFonts w:hint="default"/>
      </w:rPr>
    </w:lvl>
    <w:lvl w:ilvl="5" w:tplc="088AD92A">
      <w:numFmt w:val="bullet"/>
      <w:lvlText w:val="•"/>
      <w:lvlJc w:val="left"/>
      <w:pPr>
        <w:ind w:left="5152" w:hanging="361"/>
      </w:pPr>
      <w:rPr>
        <w:rFonts w:hint="default"/>
      </w:rPr>
    </w:lvl>
    <w:lvl w:ilvl="6" w:tplc="CD4212E0">
      <w:numFmt w:val="bullet"/>
      <w:lvlText w:val="•"/>
      <w:lvlJc w:val="left"/>
      <w:pPr>
        <w:ind w:left="6014" w:hanging="361"/>
      </w:pPr>
      <w:rPr>
        <w:rFonts w:hint="default"/>
      </w:rPr>
    </w:lvl>
    <w:lvl w:ilvl="7" w:tplc="866E8D56">
      <w:numFmt w:val="bullet"/>
      <w:lvlText w:val="•"/>
      <w:lvlJc w:val="left"/>
      <w:pPr>
        <w:ind w:left="6876" w:hanging="361"/>
      </w:pPr>
      <w:rPr>
        <w:rFonts w:hint="default"/>
      </w:rPr>
    </w:lvl>
    <w:lvl w:ilvl="8" w:tplc="BF849BAC">
      <w:numFmt w:val="bullet"/>
      <w:lvlText w:val="•"/>
      <w:lvlJc w:val="left"/>
      <w:pPr>
        <w:ind w:left="7739" w:hanging="361"/>
      </w:pPr>
      <w:rPr>
        <w:rFonts w:hint="default"/>
      </w:rPr>
    </w:lvl>
  </w:abstractNum>
  <w:abstractNum w:abstractNumId="4">
    <w:nsid w:val="5A0E26D0"/>
    <w:multiLevelType w:val="hybridMultilevel"/>
    <w:tmpl w:val="4C782532"/>
    <w:lvl w:ilvl="0" w:tplc="46385CC0">
      <w:numFmt w:val="bullet"/>
      <w:lvlText w:val="-"/>
      <w:lvlJc w:val="left"/>
      <w:pPr>
        <w:ind w:left="114" w:hanging="130"/>
      </w:pPr>
      <w:rPr>
        <w:rFonts w:ascii="Calibri" w:eastAsia="Calibri" w:hAnsi="Calibri" w:cs="Calibri" w:hint="default"/>
        <w:w w:val="100"/>
        <w:sz w:val="21"/>
        <w:szCs w:val="21"/>
      </w:rPr>
    </w:lvl>
    <w:lvl w:ilvl="1" w:tplc="B21EA056">
      <w:numFmt w:val="bullet"/>
      <w:lvlText w:val="•"/>
      <w:lvlJc w:val="left"/>
      <w:pPr>
        <w:ind w:left="840" w:hanging="130"/>
      </w:pPr>
      <w:rPr>
        <w:rFonts w:hint="default"/>
      </w:rPr>
    </w:lvl>
    <w:lvl w:ilvl="2" w:tplc="8C506548">
      <w:numFmt w:val="bullet"/>
      <w:lvlText w:val="•"/>
      <w:lvlJc w:val="left"/>
      <w:pPr>
        <w:ind w:left="1798" w:hanging="130"/>
      </w:pPr>
      <w:rPr>
        <w:rFonts w:hint="default"/>
      </w:rPr>
    </w:lvl>
    <w:lvl w:ilvl="3" w:tplc="DFB00FB8">
      <w:numFmt w:val="bullet"/>
      <w:lvlText w:val="•"/>
      <w:lvlJc w:val="left"/>
      <w:pPr>
        <w:ind w:left="2756" w:hanging="130"/>
      </w:pPr>
      <w:rPr>
        <w:rFonts w:hint="default"/>
      </w:rPr>
    </w:lvl>
    <w:lvl w:ilvl="4" w:tplc="43D6FC14">
      <w:numFmt w:val="bullet"/>
      <w:lvlText w:val="•"/>
      <w:lvlJc w:val="left"/>
      <w:pPr>
        <w:ind w:left="3714" w:hanging="130"/>
      </w:pPr>
      <w:rPr>
        <w:rFonts w:hint="default"/>
      </w:rPr>
    </w:lvl>
    <w:lvl w:ilvl="5" w:tplc="4866DAB6">
      <w:numFmt w:val="bullet"/>
      <w:lvlText w:val="•"/>
      <w:lvlJc w:val="left"/>
      <w:pPr>
        <w:ind w:left="4672" w:hanging="130"/>
      </w:pPr>
      <w:rPr>
        <w:rFonts w:hint="default"/>
      </w:rPr>
    </w:lvl>
    <w:lvl w:ilvl="6" w:tplc="28FCBBCC">
      <w:numFmt w:val="bullet"/>
      <w:lvlText w:val="•"/>
      <w:lvlJc w:val="left"/>
      <w:pPr>
        <w:ind w:left="5631" w:hanging="130"/>
      </w:pPr>
      <w:rPr>
        <w:rFonts w:hint="default"/>
      </w:rPr>
    </w:lvl>
    <w:lvl w:ilvl="7" w:tplc="21CCCF54">
      <w:numFmt w:val="bullet"/>
      <w:lvlText w:val="•"/>
      <w:lvlJc w:val="left"/>
      <w:pPr>
        <w:ind w:left="6589" w:hanging="130"/>
      </w:pPr>
      <w:rPr>
        <w:rFonts w:hint="default"/>
      </w:rPr>
    </w:lvl>
    <w:lvl w:ilvl="8" w:tplc="8656FA9C">
      <w:numFmt w:val="bullet"/>
      <w:lvlText w:val="•"/>
      <w:lvlJc w:val="left"/>
      <w:pPr>
        <w:ind w:left="7547" w:hanging="130"/>
      </w:pPr>
      <w:rPr>
        <w:rFonts w:hint="default"/>
      </w:rPr>
    </w:lvl>
  </w:abstractNum>
  <w:abstractNum w:abstractNumId="5">
    <w:nsid w:val="5A6C2724"/>
    <w:multiLevelType w:val="hybridMultilevel"/>
    <w:tmpl w:val="B3346810"/>
    <w:lvl w:ilvl="0" w:tplc="B3569DE8">
      <w:start w:val="1"/>
      <w:numFmt w:val="decimal"/>
      <w:lvlText w:val="%1)"/>
      <w:lvlJc w:val="left"/>
      <w:pPr>
        <w:ind w:left="114" w:hanging="216"/>
      </w:pPr>
      <w:rPr>
        <w:rFonts w:ascii="Calibri" w:eastAsia="Calibri" w:hAnsi="Calibri" w:cs="Calibri" w:hint="default"/>
        <w:spacing w:val="-2"/>
        <w:w w:val="100"/>
        <w:sz w:val="21"/>
        <w:szCs w:val="21"/>
      </w:rPr>
    </w:lvl>
    <w:lvl w:ilvl="1" w:tplc="424603F0">
      <w:numFmt w:val="bullet"/>
      <w:lvlText w:val="•"/>
      <w:lvlJc w:val="left"/>
      <w:pPr>
        <w:ind w:left="1054" w:hanging="216"/>
      </w:pPr>
      <w:rPr>
        <w:rFonts w:hint="default"/>
      </w:rPr>
    </w:lvl>
    <w:lvl w:ilvl="2" w:tplc="76AC1B82">
      <w:numFmt w:val="bullet"/>
      <w:lvlText w:val="•"/>
      <w:lvlJc w:val="left"/>
      <w:pPr>
        <w:ind w:left="1988" w:hanging="216"/>
      </w:pPr>
      <w:rPr>
        <w:rFonts w:hint="default"/>
      </w:rPr>
    </w:lvl>
    <w:lvl w:ilvl="3" w:tplc="9054653E">
      <w:numFmt w:val="bullet"/>
      <w:lvlText w:val="•"/>
      <w:lvlJc w:val="left"/>
      <w:pPr>
        <w:ind w:left="2923" w:hanging="216"/>
      </w:pPr>
      <w:rPr>
        <w:rFonts w:hint="default"/>
      </w:rPr>
    </w:lvl>
    <w:lvl w:ilvl="4" w:tplc="5930D8F2">
      <w:numFmt w:val="bullet"/>
      <w:lvlText w:val="•"/>
      <w:lvlJc w:val="left"/>
      <w:pPr>
        <w:ind w:left="3857" w:hanging="216"/>
      </w:pPr>
      <w:rPr>
        <w:rFonts w:hint="default"/>
      </w:rPr>
    </w:lvl>
    <w:lvl w:ilvl="5" w:tplc="713EEFF4">
      <w:numFmt w:val="bullet"/>
      <w:lvlText w:val="•"/>
      <w:lvlJc w:val="left"/>
      <w:pPr>
        <w:ind w:left="4792" w:hanging="216"/>
      </w:pPr>
      <w:rPr>
        <w:rFonts w:hint="default"/>
      </w:rPr>
    </w:lvl>
    <w:lvl w:ilvl="6" w:tplc="0860BA48">
      <w:numFmt w:val="bullet"/>
      <w:lvlText w:val="•"/>
      <w:lvlJc w:val="left"/>
      <w:pPr>
        <w:ind w:left="5726" w:hanging="216"/>
      </w:pPr>
      <w:rPr>
        <w:rFonts w:hint="default"/>
      </w:rPr>
    </w:lvl>
    <w:lvl w:ilvl="7" w:tplc="E8EADAE2">
      <w:numFmt w:val="bullet"/>
      <w:lvlText w:val="•"/>
      <w:lvlJc w:val="left"/>
      <w:pPr>
        <w:ind w:left="6660" w:hanging="216"/>
      </w:pPr>
      <w:rPr>
        <w:rFonts w:hint="default"/>
      </w:rPr>
    </w:lvl>
    <w:lvl w:ilvl="8" w:tplc="A9688D2A">
      <w:numFmt w:val="bullet"/>
      <w:lvlText w:val="•"/>
      <w:lvlJc w:val="left"/>
      <w:pPr>
        <w:ind w:left="7595" w:hanging="216"/>
      </w:pPr>
      <w:rPr>
        <w:rFonts w:hint="default"/>
      </w:rPr>
    </w:lvl>
  </w:abstractNum>
  <w:abstractNum w:abstractNumId="6">
    <w:nsid w:val="702F0FC1"/>
    <w:multiLevelType w:val="hybridMultilevel"/>
    <w:tmpl w:val="10641F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2458CC"/>
    <w:multiLevelType w:val="hybridMultilevel"/>
    <w:tmpl w:val="8162FE80"/>
    <w:lvl w:ilvl="0" w:tplc="4066ED2C">
      <w:start w:val="1"/>
      <w:numFmt w:val="lowerLetter"/>
      <w:lvlText w:val="%1)"/>
      <w:lvlJc w:val="left"/>
      <w:pPr>
        <w:ind w:left="114" w:hanging="202"/>
      </w:pPr>
      <w:rPr>
        <w:rFonts w:ascii="Calibri" w:eastAsia="Calibri" w:hAnsi="Calibri" w:cs="Calibri" w:hint="default"/>
        <w:w w:val="100"/>
        <w:sz w:val="21"/>
        <w:szCs w:val="21"/>
      </w:rPr>
    </w:lvl>
    <w:lvl w:ilvl="1" w:tplc="615A1628">
      <w:numFmt w:val="bullet"/>
      <w:lvlText w:val="•"/>
      <w:lvlJc w:val="left"/>
      <w:pPr>
        <w:ind w:left="1054" w:hanging="202"/>
      </w:pPr>
      <w:rPr>
        <w:rFonts w:hint="default"/>
      </w:rPr>
    </w:lvl>
    <w:lvl w:ilvl="2" w:tplc="49828010">
      <w:numFmt w:val="bullet"/>
      <w:lvlText w:val="•"/>
      <w:lvlJc w:val="left"/>
      <w:pPr>
        <w:ind w:left="1988" w:hanging="202"/>
      </w:pPr>
      <w:rPr>
        <w:rFonts w:hint="default"/>
      </w:rPr>
    </w:lvl>
    <w:lvl w:ilvl="3" w:tplc="849E02BE">
      <w:numFmt w:val="bullet"/>
      <w:lvlText w:val="•"/>
      <w:lvlJc w:val="left"/>
      <w:pPr>
        <w:ind w:left="2923" w:hanging="202"/>
      </w:pPr>
      <w:rPr>
        <w:rFonts w:hint="default"/>
      </w:rPr>
    </w:lvl>
    <w:lvl w:ilvl="4" w:tplc="A0CE7FD2">
      <w:numFmt w:val="bullet"/>
      <w:lvlText w:val="•"/>
      <w:lvlJc w:val="left"/>
      <w:pPr>
        <w:ind w:left="3857" w:hanging="202"/>
      </w:pPr>
      <w:rPr>
        <w:rFonts w:hint="default"/>
      </w:rPr>
    </w:lvl>
    <w:lvl w:ilvl="5" w:tplc="3B9E6D92">
      <w:numFmt w:val="bullet"/>
      <w:lvlText w:val="•"/>
      <w:lvlJc w:val="left"/>
      <w:pPr>
        <w:ind w:left="4792" w:hanging="202"/>
      </w:pPr>
      <w:rPr>
        <w:rFonts w:hint="default"/>
      </w:rPr>
    </w:lvl>
    <w:lvl w:ilvl="6" w:tplc="F4D654D8">
      <w:numFmt w:val="bullet"/>
      <w:lvlText w:val="•"/>
      <w:lvlJc w:val="left"/>
      <w:pPr>
        <w:ind w:left="5726" w:hanging="202"/>
      </w:pPr>
      <w:rPr>
        <w:rFonts w:hint="default"/>
      </w:rPr>
    </w:lvl>
    <w:lvl w:ilvl="7" w:tplc="449A40DA">
      <w:numFmt w:val="bullet"/>
      <w:lvlText w:val="•"/>
      <w:lvlJc w:val="left"/>
      <w:pPr>
        <w:ind w:left="6660" w:hanging="202"/>
      </w:pPr>
      <w:rPr>
        <w:rFonts w:hint="default"/>
      </w:rPr>
    </w:lvl>
    <w:lvl w:ilvl="8" w:tplc="665EB628">
      <w:numFmt w:val="bullet"/>
      <w:lvlText w:val="•"/>
      <w:lvlJc w:val="left"/>
      <w:pPr>
        <w:ind w:left="7595" w:hanging="202"/>
      </w:pPr>
      <w:rPr>
        <w:rFonts w:hint="default"/>
      </w:rPr>
    </w:lvl>
  </w:abstractNum>
  <w:num w:numId="1">
    <w:abstractNumId w:val="3"/>
  </w:num>
  <w:num w:numId="2">
    <w:abstractNumId w:val="1"/>
  </w:num>
  <w:num w:numId="3">
    <w:abstractNumId w:val="5"/>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ulTrailSpace/>
  </w:compat>
  <w:rsids>
    <w:rsidRoot w:val="00263500"/>
    <w:rsid w:val="00030BFB"/>
    <w:rsid w:val="000A3F0F"/>
    <w:rsid w:val="00162595"/>
    <w:rsid w:val="001829D1"/>
    <w:rsid w:val="00253F7A"/>
    <w:rsid w:val="0026142B"/>
    <w:rsid w:val="00263500"/>
    <w:rsid w:val="003C36E3"/>
    <w:rsid w:val="003F62B0"/>
    <w:rsid w:val="0042019A"/>
    <w:rsid w:val="004B25B8"/>
    <w:rsid w:val="00505547"/>
    <w:rsid w:val="00526E01"/>
    <w:rsid w:val="00563852"/>
    <w:rsid w:val="00575060"/>
    <w:rsid w:val="00585AB0"/>
    <w:rsid w:val="005B58F9"/>
    <w:rsid w:val="006A2A8D"/>
    <w:rsid w:val="006B3D5D"/>
    <w:rsid w:val="00704F05"/>
    <w:rsid w:val="0071260F"/>
    <w:rsid w:val="00885861"/>
    <w:rsid w:val="008E3B24"/>
    <w:rsid w:val="008F203F"/>
    <w:rsid w:val="0097520D"/>
    <w:rsid w:val="00997B73"/>
    <w:rsid w:val="009B30A5"/>
    <w:rsid w:val="009C6809"/>
    <w:rsid w:val="00A11CA9"/>
    <w:rsid w:val="00A83F75"/>
    <w:rsid w:val="00AA0CF1"/>
    <w:rsid w:val="00AA50F7"/>
    <w:rsid w:val="00B10100"/>
    <w:rsid w:val="00B633A3"/>
    <w:rsid w:val="00BB60A7"/>
    <w:rsid w:val="00C00623"/>
    <w:rsid w:val="00C30FBE"/>
    <w:rsid w:val="00C72886"/>
    <w:rsid w:val="00D02F13"/>
    <w:rsid w:val="00D4503D"/>
    <w:rsid w:val="00D5020F"/>
    <w:rsid w:val="00DF37A1"/>
    <w:rsid w:val="00E05524"/>
    <w:rsid w:val="00EA31FD"/>
    <w:rsid w:val="00EB4A5C"/>
    <w:rsid w:val="00EF2E5C"/>
    <w:rsid w:val="00F302D8"/>
    <w:rsid w:val="00F85403"/>
    <w:rsid w:val="00FB02AB"/>
    <w:rsid w:val="00FE27E5"/>
    <w:rsid w:val="1AF95A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C36E3"/>
    <w:rPr>
      <w:rFonts w:ascii="Calibri" w:eastAsia="Calibri" w:hAnsi="Calibri" w:cs="Calibri"/>
    </w:rPr>
  </w:style>
  <w:style w:type="paragraph" w:styleId="Titolo1">
    <w:name w:val="heading 1"/>
    <w:basedOn w:val="Normale"/>
    <w:uiPriority w:val="1"/>
    <w:qFormat/>
    <w:rsid w:val="003C36E3"/>
    <w:pPr>
      <w:ind w:left="40"/>
      <w:outlineLvl w:val="0"/>
    </w:pPr>
  </w:style>
  <w:style w:type="paragraph" w:styleId="Titolo2">
    <w:name w:val="heading 2"/>
    <w:basedOn w:val="Normale"/>
    <w:uiPriority w:val="1"/>
    <w:qFormat/>
    <w:rsid w:val="003C36E3"/>
    <w:pPr>
      <w:ind w:left="526" w:right="526"/>
      <w:jc w:val="center"/>
      <w:outlineLvl w:val="1"/>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3C36E3"/>
    <w:tblPr>
      <w:tblInd w:w="0" w:type="dxa"/>
      <w:tblCellMar>
        <w:top w:w="0" w:type="dxa"/>
        <w:left w:w="0" w:type="dxa"/>
        <w:bottom w:w="0" w:type="dxa"/>
        <w:right w:w="0" w:type="dxa"/>
      </w:tblCellMar>
    </w:tblPr>
  </w:style>
  <w:style w:type="paragraph" w:styleId="Corpodeltesto">
    <w:name w:val="Body Text"/>
    <w:basedOn w:val="Normale"/>
    <w:uiPriority w:val="1"/>
    <w:qFormat/>
    <w:rsid w:val="003C36E3"/>
    <w:rPr>
      <w:sz w:val="21"/>
      <w:szCs w:val="21"/>
    </w:rPr>
  </w:style>
  <w:style w:type="paragraph" w:styleId="Paragrafoelenco">
    <w:name w:val="List Paragraph"/>
    <w:basedOn w:val="Normale"/>
    <w:uiPriority w:val="34"/>
    <w:qFormat/>
    <w:rsid w:val="003C36E3"/>
    <w:pPr>
      <w:ind w:left="114"/>
      <w:jc w:val="both"/>
    </w:pPr>
  </w:style>
  <w:style w:type="paragraph" w:customStyle="1" w:styleId="TableParagraph">
    <w:name w:val="Table Paragraph"/>
    <w:basedOn w:val="Normale"/>
    <w:uiPriority w:val="1"/>
    <w:qFormat/>
    <w:rsid w:val="003C36E3"/>
    <w:pPr>
      <w:spacing w:line="248" w:lineRule="exact"/>
      <w:ind w:right="342"/>
      <w:jc w:val="center"/>
    </w:pPr>
  </w:style>
  <w:style w:type="character" w:styleId="Collegamentoipertestuale">
    <w:name w:val="Hyperlink"/>
    <w:basedOn w:val="Carpredefinitoparagrafo"/>
    <w:uiPriority w:val="99"/>
    <w:unhideWhenUsed/>
    <w:rsid w:val="00997B73"/>
    <w:rPr>
      <w:color w:val="0000FF" w:themeColor="hyperlink"/>
      <w:u w:val="single"/>
    </w:rPr>
  </w:style>
  <w:style w:type="character" w:customStyle="1" w:styleId="UnresolvedMention">
    <w:name w:val="Unresolved Mention"/>
    <w:basedOn w:val="Carpredefinitoparagrafo"/>
    <w:uiPriority w:val="99"/>
    <w:semiHidden/>
    <w:unhideWhenUsed/>
    <w:rsid w:val="00997B73"/>
    <w:rPr>
      <w:color w:val="808080"/>
      <w:shd w:val="clear" w:color="auto" w:fill="E6E6E6"/>
    </w:rPr>
  </w:style>
  <w:style w:type="paragraph" w:styleId="Intestazione">
    <w:name w:val="header"/>
    <w:basedOn w:val="Normale"/>
    <w:link w:val="IntestazioneCarattere"/>
    <w:uiPriority w:val="99"/>
    <w:unhideWhenUsed/>
    <w:rsid w:val="00B10100"/>
    <w:pPr>
      <w:tabs>
        <w:tab w:val="center" w:pos="4819"/>
        <w:tab w:val="right" w:pos="9638"/>
      </w:tabs>
    </w:pPr>
  </w:style>
  <w:style w:type="character" w:customStyle="1" w:styleId="IntestazioneCarattere">
    <w:name w:val="Intestazione Carattere"/>
    <w:basedOn w:val="Carpredefinitoparagrafo"/>
    <w:link w:val="Intestazione"/>
    <w:uiPriority w:val="99"/>
    <w:rsid w:val="00B10100"/>
    <w:rPr>
      <w:rFonts w:ascii="Calibri" w:eastAsia="Calibri" w:hAnsi="Calibri" w:cs="Calibri"/>
    </w:rPr>
  </w:style>
  <w:style w:type="paragraph" w:styleId="Pidipagina">
    <w:name w:val="footer"/>
    <w:basedOn w:val="Normale"/>
    <w:link w:val="PidipaginaCarattere"/>
    <w:uiPriority w:val="99"/>
    <w:unhideWhenUsed/>
    <w:rsid w:val="00B10100"/>
    <w:pPr>
      <w:tabs>
        <w:tab w:val="center" w:pos="4819"/>
        <w:tab w:val="right" w:pos="9638"/>
      </w:tabs>
    </w:pPr>
  </w:style>
  <w:style w:type="character" w:customStyle="1" w:styleId="PidipaginaCarattere">
    <w:name w:val="Piè di pagina Carattere"/>
    <w:basedOn w:val="Carpredefinitoparagrafo"/>
    <w:link w:val="Pidipagina"/>
    <w:uiPriority w:val="99"/>
    <w:rsid w:val="00B10100"/>
    <w:rPr>
      <w:rFonts w:ascii="Calibri" w:eastAsia="Calibri" w:hAnsi="Calibri" w:cs="Calibri"/>
    </w:rPr>
  </w:style>
  <w:style w:type="paragraph" w:styleId="Testonotaapidipagina">
    <w:name w:val="footnote text"/>
    <w:basedOn w:val="Normale"/>
    <w:link w:val="TestonotaapidipaginaCarattere"/>
    <w:uiPriority w:val="99"/>
    <w:semiHidden/>
    <w:unhideWhenUsed/>
    <w:rsid w:val="00563852"/>
    <w:pPr>
      <w:widowControl/>
      <w:autoSpaceDE/>
      <w:autoSpaceDN/>
    </w:pPr>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563852"/>
    <w:rPr>
      <w:sz w:val="20"/>
      <w:szCs w:val="20"/>
      <w:lang w:val="it-IT"/>
    </w:rPr>
  </w:style>
  <w:style w:type="character" w:styleId="Rimandonotaapidipagina">
    <w:name w:val="footnote reference"/>
    <w:basedOn w:val="Carpredefinitoparagrafo"/>
    <w:uiPriority w:val="99"/>
    <w:semiHidden/>
    <w:unhideWhenUsed/>
    <w:rsid w:val="00563852"/>
    <w:rPr>
      <w:vertAlign w:val="superscript"/>
    </w:rPr>
  </w:style>
  <w:style w:type="table" w:styleId="Grigliatabella">
    <w:name w:val="Table Grid"/>
    <w:basedOn w:val="Tabellanormale"/>
    <w:uiPriority w:val="59"/>
    <w:rsid w:val="00F302D8"/>
    <w:pPr>
      <w:widowControl/>
      <w:autoSpaceDE/>
      <w:autoSpaceDN/>
    </w:pPr>
    <w:rPr>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962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440B-1FDA-4989-B4F5-C3DBE3DE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770</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2018-09-23T20:58:00Z</dcterms:created>
  <dcterms:modified xsi:type="dcterms:W3CDTF">2018-10-04T12:03:00Z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2016</vt:lpwstr>
  </property>
  <property fmtid="{D5CDD505-2E9C-101B-9397-08002B2CF9AE}" pid="4" name="LastSaved">
    <vt:filetime>2017-06-29T00:00:00Z</vt:filetime>
  </property>
</Properties>
</file>