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D8" w:rsidRPr="005901AE" w:rsidRDefault="00F302D8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56585" w:rsidRPr="005901AE" w:rsidRDefault="00D56585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585" w:rsidRPr="005901AE" w:rsidRDefault="00D56585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585" w:rsidRPr="005901AE" w:rsidRDefault="00D56585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585" w:rsidRPr="005901AE" w:rsidRDefault="00D56585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585" w:rsidRPr="005901AE" w:rsidRDefault="00D56585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585" w:rsidRPr="005901AE" w:rsidRDefault="00D56585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585" w:rsidRPr="005901AE" w:rsidRDefault="00D56585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585" w:rsidRPr="005901AE" w:rsidRDefault="00D56585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585" w:rsidRPr="005901AE" w:rsidRDefault="00D56585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585" w:rsidRPr="005901AE" w:rsidRDefault="00D56585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2D8" w:rsidRPr="005901AE" w:rsidRDefault="00F302D8" w:rsidP="00590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585" w:rsidRPr="005901AE" w:rsidRDefault="00D56585" w:rsidP="005901AE">
      <w:pPr>
        <w:widowControl/>
        <w:adjustRightInd w:val="0"/>
        <w:spacing w:line="360" w:lineRule="auto"/>
        <w:jc w:val="center"/>
        <w:rPr>
          <w:rFonts w:ascii="Arial" w:eastAsia="CIDFont+F1" w:hAnsi="Arial" w:cs="Arial"/>
          <w:b/>
          <w:color w:val="44546A"/>
          <w:sz w:val="40"/>
          <w:szCs w:val="40"/>
          <w:lang w:val="it-IT"/>
        </w:rPr>
      </w:pPr>
      <w:r w:rsidRPr="005901AE">
        <w:rPr>
          <w:rFonts w:ascii="Arial" w:eastAsia="CIDFont+F1" w:hAnsi="Arial" w:cs="Arial"/>
          <w:b/>
          <w:color w:val="44546A"/>
          <w:sz w:val="40"/>
          <w:szCs w:val="40"/>
          <w:lang w:val="it-IT"/>
        </w:rPr>
        <w:t>Relazione sul governo societario</w:t>
      </w:r>
    </w:p>
    <w:p w:rsidR="00D56585" w:rsidRPr="005901AE" w:rsidRDefault="00D56585" w:rsidP="005901AE">
      <w:pPr>
        <w:widowControl/>
        <w:adjustRightInd w:val="0"/>
        <w:spacing w:line="360" w:lineRule="auto"/>
        <w:jc w:val="center"/>
        <w:rPr>
          <w:rFonts w:ascii="Arial" w:eastAsia="CIDFont+F1" w:hAnsi="Arial" w:cs="Arial"/>
          <w:b/>
          <w:color w:val="44546A"/>
          <w:sz w:val="40"/>
          <w:szCs w:val="40"/>
          <w:lang w:val="it-IT"/>
        </w:rPr>
      </w:pPr>
      <w:r w:rsidRPr="005901AE">
        <w:rPr>
          <w:rFonts w:ascii="Arial" w:eastAsia="CIDFont+F1" w:hAnsi="Arial" w:cs="Arial"/>
          <w:b/>
          <w:color w:val="44546A"/>
          <w:sz w:val="40"/>
          <w:szCs w:val="40"/>
          <w:lang w:val="it-IT"/>
        </w:rPr>
        <w:t>ai sensi</w:t>
      </w:r>
    </w:p>
    <w:p w:rsidR="00D56585" w:rsidRPr="005901AE" w:rsidRDefault="00D56585" w:rsidP="005901AE">
      <w:pPr>
        <w:spacing w:line="360" w:lineRule="auto"/>
        <w:jc w:val="center"/>
        <w:rPr>
          <w:rFonts w:ascii="Arial" w:eastAsia="CIDFont+F1" w:hAnsi="Arial" w:cs="Arial"/>
          <w:b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b/>
          <w:color w:val="44546A"/>
          <w:sz w:val="40"/>
          <w:szCs w:val="40"/>
          <w:lang w:val="it-IT"/>
        </w:rPr>
        <w:t xml:space="preserve">dell’art. 6 del D. </w:t>
      </w:r>
      <w:proofErr w:type="spellStart"/>
      <w:r w:rsidRPr="005901AE">
        <w:rPr>
          <w:rFonts w:ascii="Arial" w:eastAsia="CIDFont+F1" w:hAnsi="Arial" w:cs="Arial"/>
          <w:b/>
          <w:color w:val="44546A"/>
          <w:sz w:val="40"/>
          <w:szCs w:val="40"/>
          <w:lang w:val="it-IT"/>
        </w:rPr>
        <w:t>Lgs</w:t>
      </w:r>
      <w:proofErr w:type="spellEnd"/>
      <w:r w:rsidRPr="005901AE">
        <w:rPr>
          <w:rFonts w:ascii="Arial" w:eastAsia="CIDFont+F1" w:hAnsi="Arial" w:cs="Arial"/>
          <w:b/>
          <w:color w:val="44546A"/>
          <w:sz w:val="40"/>
          <w:szCs w:val="40"/>
          <w:lang w:val="it-IT"/>
        </w:rPr>
        <w:t>. 19 agosto 2016 n. 175</w:t>
      </w:r>
      <w:r w:rsidRPr="005901AE">
        <w:rPr>
          <w:rFonts w:ascii="Arial" w:eastAsia="CIDFont+F1" w:hAnsi="Arial" w:cs="Arial"/>
          <w:b/>
          <w:color w:val="2F5497"/>
          <w:sz w:val="24"/>
          <w:szCs w:val="24"/>
          <w:lang w:val="it-IT"/>
        </w:rPr>
        <w:br w:type="page"/>
      </w:r>
    </w:p>
    <w:p w:rsidR="00541A6A" w:rsidRPr="005901AE" w:rsidRDefault="00D56585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b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b/>
          <w:color w:val="2F5497"/>
          <w:sz w:val="24"/>
          <w:szCs w:val="24"/>
          <w:lang w:val="it-IT"/>
        </w:rPr>
        <w:lastRenderedPageBreak/>
        <w:t xml:space="preserve">1. </w:t>
      </w:r>
      <w:r w:rsidR="00541A6A" w:rsidRPr="005901AE">
        <w:rPr>
          <w:rFonts w:ascii="Arial" w:eastAsia="CIDFont+F1" w:hAnsi="Arial" w:cs="Arial"/>
          <w:b/>
          <w:color w:val="2F5497"/>
          <w:sz w:val="24"/>
          <w:szCs w:val="24"/>
          <w:lang w:val="it-IT"/>
        </w:rPr>
        <w:t>Genesi normativa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Il Decreto Legislativo 19 agosto 2016 n. 175, “Testo Unico in materia di società a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partecipazione pubblica” (qui di seguito “Testo Unico”), emanato in attuazione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dell’articolo 18 della Legge 7 agosto 2015 n. 124 “Deleghe al Governo in materia di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riorganizzazione delle amministrazioni pubbliche”, contiene un riordino della disciplina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delle partecipazioni societarie delle amministrazioni pubbliche.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Nel dettaglio, l’articolo 6 - “Principi fondamentali sull'organizzazione e sulla gestione delle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società a controllo pubblico” - ha introdotto nuovi adempimenti in materia di </w:t>
      </w:r>
      <w:r w:rsidRPr="005901AE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>governance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delle società a controllo pubblico, prevedendo, al comma 4, l’obbligo per le società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partecipate di predisporre annualmente, a chiusura dell’esercizio sociale, una apposita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Relazione sul governo societario, da pubblicare contestualmente al bilancio di esercizio.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In ossequio alla disposizione normativa, si predispone la presente Relazione sul governo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societario (d’ora in poi, anche più semplicemente “Relazione”), volta a fornire un quadro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generale sugli strumenti di governo societario nonché sui programmi di valutazione del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rischio di crisi aziendale implementati da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lla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 Servizi S.r.l.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Al fine di meglio rispondere a tali obiettivi informativi, la Relazione si articola nelle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seguenti sezioni: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4" w:hAnsi="Arial" w:cs="Arial"/>
          <w:color w:val="000000"/>
          <w:sz w:val="24"/>
          <w:szCs w:val="24"/>
          <w:lang w:val="it-IT"/>
        </w:rPr>
        <w:t xml:space="preserve">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Profilo della società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4" w:hAnsi="Arial" w:cs="Arial"/>
          <w:color w:val="000000"/>
          <w:sz w:val="24"/>
          <w:szCs w:val="24"/>
          <w:lang w:val="it-IT"/>
        </w:rPr>
        <w:t xml:space="preserve">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Informazioni sugli assetti proprietari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4" w:hAnsi="Arial" w:cs="Arial"/>
          <w:color w:val="000000"/>
          <w:sz w:val="24"/>
          <w:szCs w:val="24"/>
          <w:lang w:val="it-IT"/>
        </w:rPr>
        <w:t xml:space="preserve">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Modello di corporate governance</w:t>
      </w:r>
    </w:p>
    <w:p w:rsidR="00BF06E0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4" w:hAnsi="Arial" w:cs="Arial"/>
          <w:color w:val="000000"/>
          <w:sz w:val="24"/>
          <w:szCs w:val="24"/>
          <w:lang w:val="it-IT"/>
        </w:rPr>
        <w:t xml:space="preserve">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Strumenti di governo societario di cui all’art. 6 comma 3 del D.Lgs. 175/2016</w:t>
      </w:r>
    </w:p>
    <w:p w:rsidR="00541A6A" w:rsidRPr="00BF06E0" w:rsidRDefault="00541A6A" w:rsidP="00BF06E0">
      <w:pPr>
        <w:pStyle w:val="Paragrafoelenco"/>
        <w:widowControl/>
        <w:numPr>
          <w:ilvl w:val="0"/>
          <w:numId w:val="8"/>
        </w:numPr>
        <w:adjustRightInd w:val="0"/>
        <w:spacing w:line="360" w:lineRule="auto"/>
        <w:ind w:left="284" w:hanging="284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BF06E0">
        <w:rPr>
          <w:rFonts w:ascii="Arial" w:eastAsia="CIDFont+F1" w:hAnsi="Arial" w:cs="Arial"/>
          <w:color w:val="000000"/>
          <w:sz w:val="24"/>
          <w:szCs w:val="24"/>
          <w:lang w:val="it-IT"/>
        </w:rPr>
        <w:t>Programma di valutazione del rischio di crisi aziendale ai sensi dell’art. 6 co. 2 e</w:t>
      </w:r>
      <w:r w:rsidR="00F11750" w:rsidRPr="00BF06E0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BF06E0">
        <w:rPr>
          <w:rFonts w:ascii="Arial" w:eastAsia="CIDFont+F1" w:hAnsi="Arial" w:cs="Arial"/>
          <w:color w:val="000000"/>
          <w:sz w:val="24"/>
          <w:szCs w:val="24"/>
          <w:lang w:val="it-IT"/>
        </w:rPr>
        <w:t>dell’art. 14 co. 2 del D.Lgs. 175/2016.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La Relazione è portata a conoscenza dei soci in occasione della assemblea convocata per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l’approvazione del bilancio, come previsto dall’articolo 6 comma 2 del D.Lgs. 175/2016 e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sarà successivamente pubblicata ai sensi dell’art. 6 comma 4 del D.Lgs. 175/2016.</w:t>
      </w:r>
    </w:p>
    <w:p w:rsidR="00F11750" w:rsidRPr="005901AE" w:rsidRDefault="00F11750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Profilo della società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La 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 Servizi S.r.l.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è una società </w:t>
      </w:r>
      <w:r w:rsidR="00BF06E0">
        <w:rPr>
          <w:rFonts w:ascii="Arial" w:eastAsia="CIDFont+F1" w:hAnsi="Arial" w:cs="Arial"/>
          <w:color w:val="000000"/>
          <w:sz w:val="24"/>
          <w:szCs w:val="24"/>
          <w:lang w:val="it-IT"/>
        </w:rPr>
        <w:t>a responsabilità limitata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, con la partecipazione totalitaria di capitale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pubblico, ed è soggetta al controllo ed all’attività di direzione e coordinamento dell’Ente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comunale, trattandosi di società c.d. </w:t>
      </w:r>
      <w:r w:rsidRPr="005901AE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>in house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.</w:t>
      </w:r>
    </w:p>
    <w:p w:rsidR="00541A6A" w:rsidRPr="005901AE" w:rsidRDefault="00541A6A" w:rsidP="001B3C38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lastRenderedPageBreak/>
        <w:t xml:space="preserve">Costituita nel 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2017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dal Comune di 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per la progettazione e la realizzazione di interventi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nel settore della della sosta, ha 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intenzione di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este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ndere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i propri servizi negli anni,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ampliandoli dalla gestione delle aree di sosta a quelli di gestione </w:t>
      </w:r>
      <w:r w:rsidR="001B3C38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del servizio mensa scolastica, gestione del verde pubblico, </w:t>
      </w:r>
      <w:r w:rsidR="001B3C38" w:rsidRPr="001B3C38">
        <w:rPr>
          <w:rFonts w:ascii="Arial" w:eastAsia="CIDFont+F1" w:hAnsi="Arial" w:cs="Arial"/>
          <w:color w:val="000000"/>
          <w:sz w:val="24"/>
          <w:szCs w:val="24"/>
          <w:lang w:val="it-IT"/>
        </w:rPr>
        <w:t>gestione e manutenzione immobili e beni e del patrimonio immobiliare degli Enti soci</w:t>
      </w:r>
      <w:r w:rsidR="001B3C38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, </w:t>
      </w:r>
      <w:r w:rsidR="001B3C38" w:rsidRPr="001B3C38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gestione del servizio di spazzamento, raccolta e trasporto di rifiuti urbani ed assimilati, nei limiti previsti dalla normative in vigore e delle leggi speciali </w:t>
      </w:r>
      <w:r w:rsidR="001B3C38">
        <w:rPr>
          <w:rFonts w:ascii="Arial" w:eastAsia="CIDFont+F1" w:hAnsi="Arial" w:cs="Arial"/>
          <w:color w:val="000000"/>
          <w:sz w:val="24"/>
          <w:szCs w:val="24"/>
          <w:lang w:val="it-IT"/>
        </w:rPr>
        <w:t>in materia, e ogni altra attività prevista dallo Statuto.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Il Comune, con delibera n.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>24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del 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>18/05/2017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ha 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>deliberato la costituzione della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società </w:t>
      </w:r>
      <w:r w:rsidRPr="001878D5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>in house</w:t>
      </w:r>
      <w:r w:rsidR="001878D5" w:rsidRPr="001878D5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 xml:space="preserve"> 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>Servizi s.r.l.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, fino al 31/12/20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>50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,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e con delibera n. 32 del 28/06/2017 ha affidato alla Società il seguente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servizi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>o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:</w:t>
      </w:r>
    </w:p>
    <w:p w:rsidR="00541A6A" w:rsidRPr="005901AE" w:rsidRDefault="00541A6A" w:rsidP="001878D5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6" w:hAnsi="Arial" w:cs="Arial"/>
          <w:color w:val="000000"/>
          <w:sz w:val="24"/>
          <w:szCs w:val="24"/>
          <w:lang w:val="it-IT"/>
        </w:rPr>
        <w:t xml:space="preserve">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Gestione dei parcheggi 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>a pagamento.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Informazioni sugli assetti proprietari</w:t>
      </w:r>
    </w:p>
    <w:p w:rsidR="001878D5" w:rsidRPr="005901AE" w:rsidRDefault="00541A6A" w:rsidP="001878D5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La società</w:t>
      </w:r>
      <w:r w:rsidR="00BF06E0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è interamente partecipata dal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Comune di 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="00BF06E0">
        <w:rPr>
          <w:rFonts w:ascii="Arial" w:eastAsia="CIDFont+F1" w:hAnsi="Arial" w:cs="Arial"/>
          <w:color w:val="000000"/>
          <w:sz w:val="24"/>
          <w:szCs w:val="24"/>
          <w:lang w:val="it-IT"/>
        </w:rPr>
        <w:t>la quale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detiene il 100% del capitale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sociale che alla data del 31.12.2017 presenta un valore nominale di euro 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>40.000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,00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diviso in quote come per legge.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Modello di Corporate </w:t>
      </w:r>
      <w:r w:rsidRPr="00D0489B">
        <w:rPr>
          <w:rFonts w:ascii="Arial" w:eastAsia="CIDFont+F1" w:hAnsi="Arial" w:cs="Arial"/>
          <w:i/>
          <w:color w:val="2F5497"/>
          <w:sz w:val="24"/>
          <w:szCs w:val="24"/>
          <w:lang w:val="it-IT"/>
        </w:rPr>
        <w:t>Governance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Gli organi sociali, ai sensi de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gli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art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>t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. </w:t>
      </w:r>
      <w:r w:rsidR="001878D5">
        <w:rPr>
          <w:rFonts w:ascii="Arial" w:eastAsia="CIDFont+F1" w:hAnsi="Arial" w:cs="Arial"/>
          <w:color w:val="000000"/>
          <w:sz w:val="24"/>
          <w:szCs w:val="24"/>
          <w:lang w:val="it-IT"/>
        </w:rPr>
        <w:t>12 e ss.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dello Statuto della Società, sono l’Assemblea, costituita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dal Socio Unico “Comune di 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”, 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>il Consiglio di Amministrazione e il Sindaco Unico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La società ha adottato il modello di gestione e controllo ai sensi del D.</w:t>
      </w:r>
      <w:r w:rsidR="00BF06E0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lgs</w:t>
      </w:r>
      <w:proofErr w:type="spellEnd"/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231/2001 oltre al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Piano triennale per la prevenzione della corruzione e della trasparenza ai sensi della L.190/2012 e del </w:t>
      </w:r>
      <w:proofErr w:type="spellStart"/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D.lgs</w:t>
      </w:r>
      <w:proofErr w:type="spellEnd"/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33/2013.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Nello specifico, di seguito, si trattano i diversi attori presenti nel sistema organizzativo e di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controllo adottato dalla Società.</w:t>
      </w:r>
    </w:p>
    <w:p w:rsidR="00541A6A" w:rsidRPr="005901AE" w:rsidRDefault="00D0489B" w:rsidP="00D0489B">
      <w:pPr>
        <w:widowControl/>
        <w:adjustRightInd w:val="0"/>
        <w:spacing w:line="360" w:lineRule="auto"/>
        <w:ind w:firstLine="720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>
        <w:rPr>
          <w:rFonts w:ascii="Arial" w:eastAsia="CIDFont+F1" w:hAnsi="Arial" w:cs="Arial"/>
          <w:color w:val="2F5497"/>
          <w:sz w:val="24"/>
          <w:szCs w:val="24"/>
          <w:lang w:val="it-IT"/>
        </w:rPr>
        <w:t>Consiglio di Amministrazione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Ai sensi dell’articolo 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>20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e seguenti dello Statuto, l’organo amministrativo si occupa della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gestione dell’impresa con la diligenza richiesta dalla natura del proprio incarico e compie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tutte le operazioni necessarie per il raggiungimento dell’oggetto sociale, essendo dotato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dei più ampi poteri per la gestione ordinaria e straordinaria della società, fatta eccezione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lastRenderedPageBreak/>
        <w:t>soltanto per quegli atti che, a norma di legge o dello statuto, sono di esclusiva competenza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della assemblea dei soci.</w:t>
      </w:r>
    </w:p>
    <w:p w:rsidR="00541A6A" w:rsidRPr="00D0489B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i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La composizione dell’organo amministrativo è disciplinata dall’art. 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>20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dello Statuto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societario che è conforme a quanto previsto dall’articolo 11 co. 2 del D.Lgs. 175/2016,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così come modificato dal D.lgs. n. 100/2017 </w:t>
      </w:r>
      <w:r w:rsidR="00D0489B" w:rsidRPr="00D0489B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>“Disposizioni integrative e correttive al decreto legislativo 19 agosto 2016, n. 175”</w:t>
      </w:r>
      <w:r w:rsidR="00D0489B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 xml:space="preserve">,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secondo cui “La società è amministrata da un Amministratore Unico, ovvero, in alternativa,</w:t>
      </w:r>
      <w:r w:rsidR="00D0489B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per specifiche ragioni di adeguatezza organizzativa, e se ricorrono i criteri del decreto del</w:t>
      </w:r>
      <w:r w:rsidR="00D0489B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Presidente del Consiglio dei Ministri di cui all’art. 11, comma 3, D.Lgs. n. 175/2016, da un</w:t>
      </w:r>
      <w:r w:rsidR="00D0489B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Consiglio di Amministrazione composto da tre o cinque componenti.”.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Altresì, lo Statuto sociale dispone, all’art. 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>20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punto 2, che “Gli amministratori dovranno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essere scelti per onorabilità, competenza tecnica, professionale, gestionale o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amministrativa nei settori di attività della società e comunque dovranno avere i requisiti</w:t>
      </w:r>
      <w:r w:rsidR="00BF06E0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previsti dalla legge”.</w:t>
      </w:r>
    </w:p>
    <w:p w:rsidR="00541A6A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Attualmente la figura di 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>Presidente del Consiglio di Amministrazione della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Servizi srl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è ricoperta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dal Dr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. 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>Vincenzo Di Luccia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, al quale è attribuita anche la rappresentanza legale della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società.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I restanti membri 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del Consiglio 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>sono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rappresentanti dalla</w:t>
      </w:r>
      <w:r w:rsidR="00D0489B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D.ssa Sansevieri Emanuela 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>e la sig.ra Alì Mariassunta.</w:t>
      </w:r>
    </w:p>
    <w:p w:rsidR="00ED22E4" w:rsidRPr="005901AE" w:rsidRDefault="00ED22E4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Gli organi di controllo previsti dalle norme di legge e dallo statuto</w:t>
      </w:r>
    </w:p>
    <w:p w:rsidR="00541A6A" w:rsidRPr="005901AE" w:rsidRDefault="00541A6A" w:rsidP="00ED22E4">
      <w:pPr>
        <w:widowControl/>
        <w:adjustRightInd w:val="0"/>
        <w:spacing w:line="360" w:lineRule="auto"/>
        <w:ind w:firstLine="720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Il </w:t>
      </w:r>
      <w:r w:rsidR="00ED22E4">
        <w:rPr>
          <w:rFonts w:ascii="Arial" w:eastAsia="CIDFont+F1" w:hAnsi="Arial" w:cs="Arial"/>
          <w:color w:val="2F5497"/>
          <w:sz w:val="24"/>
          <w:szCs w:val="24"/>
          <w:lang w:val="it-IT"/>
        </w:rPr>
        <w:t>Sindaco Unico</w:t>
      </w:r>
    </w:p>
    <w:p w:rsidR="00541A6A" w:rsidRPr="005901AE" w:rsidRDefault="00ED22E4" w:rsidP="00ED22E4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>
        <w:rPr>
          <w:rFonts w:ascii="Arial" w:eastAsia="CIDFont+F1" w:hAnsi="Arial" w:cs="Arial"/>
          <w:color w:val="000000"/>
          <w:sz w:val="24"/>
          <w:szCs w:val="24"/>
          <w:lang w:val="it-IT"/>
        </w:rPr>
        <w:t>L’organo di controllo è costituito da</w:t>
      </w:r>
      <w:r w:rsidR="00541A6A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l </w:t>
      </w:r>
      <w:r>
        <w:rPr>
          <w:rFonts w:ascii="Arial" w:eastAsia="CIDFont+F1" w:hAnsi="Arial" w:cs="Arial"/>
          <w:color w:val="000000"/>
          <w:sz w:val="24"/>
          <w:szCs w:val="24"/>
          <w:lang w:val="it-IT"/>
        </w:rPr>
        <w:t>Sindaco Unico</w:t>
      </w:r>
      <w:r w:rsidR="00541A6A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, ai sensi dell’articolo </w:t>
      </w:r>
      <w:r>
        <w:rPr>
          <w:rFonts w:ascii="Arial" w:eastAsia="CIDFont+F1" w:hAnsi="Arial" w:cs="Arial"/>
          <w:color w:val="000000"/>
          <w:sz w:val="24"/>
          <w:szCs w:val="24"/>
          <w:lang w:val="it-IT"/>
        </w:rPr>
        <w:t>26 dello Statuto.</w:t>
      </w:r>
    </w:p>
    <w:p w:rsidR="00541A6A" w:rsidRPr="005901AE" w:rsidRDefault="00541A6A" w:rsidP="00ED22E4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Al Sindaco del Comune di 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spetta, ai sensi sia dell'art. 2449 c.c., sia dell'art. 50,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comma 8, del D.Lgs. n. 267/2000, la nomina de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>llo stesso.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Il 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>Sindaco Unico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alla data del 31.12.2017 risultava 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essere la D.ssa </w:t>
      </w:r>
      <w:proofErr w:type="spellStart"/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>Maiuri</w:t>
      </w:r>
      <w:proofErr w:type="spellEnd"/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Orsola</w:t>
      </w:r>
      <w:r w:rsidR="00BF06E0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, 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>incaricat</w:t>
      </w:r>
      <w:r w:rsidR="00BF06E0">
        <w:rPr>
          <w:rFonts w:ascii="Arial" w:eastAsia="CIDFont+F1" w:hAnsi="Arial" w:cs="Arial"/>
          <w:color w:val="000000"/>
          <w:sz w:val="24"/>
          <w:szCs w:val="24"/>
          <w:lang w:val="it-IT"/>
        </w:rPr>
        <w:t>a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con Decreto di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nomina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n. 6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del 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>7 giugno 2017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.</w:t>
      </w:r>
    </w:p>
    <w:p w:rsidR="0081307A" w:rsidRDefault="0081307A" w:rsidP="00ED22E4">
      <w:pPr>
        <w:widowControl/>
        <w:adjustRightInd w:val="0"/>
        <w:spacing w:line="360" w:lineRule="auto"/>
        <w:ind w:firstLine="720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</w:p>
    <w:p w:rsidR="00541A6A" w:rsidRPr="005901AE" w:rsidRDefault="00541A6A" w:rsidP="00ED22E4">
      <w:pPr>
        <w:widowControl/>
        <w:adjustRightInd w:val="0"/>
        <w:spacing w:line="360" w:lineRule="auto"/>
        <w:ind w:firstLine="720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Il Revisore legale dei conti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La revisione legale dei conti è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affidata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al </w:t>
      </w:r>
      <w:r w:rsidR="00ED22E4">
        <w:rPr>
          <w:rFonts w:ascii="Arial" w:eastAsia="CIDFont+F1" w:hAnsi="Arial" w:cs="Arial"/>
          <w:color w:val="000000"/>
          <w:sz w:val="24"/>
          <w:szCs w:val="24"/>
          <w:lang w:val="it-IT"/>
        </w:rPr>
        <w:t>Sindaco Unico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</w:p>
    <w:p w:rsidR="00541A6A" w:rsidRPr="005901AE" w:rsidRDefault="00541A6A" w:rsidP="00ED22E4">
      <w:pPr>
        <w:widowControl/>
        <w:adjustRightInd w:val="0"/>
        <w:spacing w:line="360" w:lineRule="auto"/>
        <w:ind w:firstLine="720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L’Organismo di vigilanza (ex D.Lgs. 231/2001)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Il D.Lgs. n. 231/2001, all’art. 6, comma 1, lett. b) prevede, tra i presupposti indispensabili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lastRenderedPageBreak/>
        <w:t>per l’esonero dalla responsabilità conseguente alla commissione dei reati, l’istituzione di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un Organismo di Vigilanza (nel seguito denominato anche “ODV”) dotato di autonomi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poteri di iniziativa e controllo, con il compito di vigilare sul funzionamento e l’osservanza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del Modello e di curarne l’aggiornamento.</w:t>
      </w:r>
    </w:p>
    <w:p w:rsidR="0081307A" w:rsidRDefault="0081307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</w:p>
    <w:p w:rsidR="00541A6A" w:rsidRPr="005901AE" w:rsidRDefault="00541A6A" w:rsidP="0081307A">
      <w:pPr>
        <w:widowControl/>
        <w:adjustRightInd w:val="0"/>
        <w:spacing w:line="360" w:lineRule="auto"/>
        <w:ind w:firstLine="720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Responsabile per la prevenzione della corruzione e trasparenza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Al Responsabile della prevenzione della corruzione e della trasparenza sono riconosciuti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poteri di vigilanza sull’attuazione effettiva delle misure organizzative per la prevenzione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della corruzione e per la trasparenza di cui al Piano adottato.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Nel corso del 2017 il ruolo di Responsabile per la Prevenzione della Corruzione e della</w:t>
      </w:r>
    </w:p>
    <w:p w:rsidR="00541A6A" w:rsidRDefault="00541A6A" w:rsidP="0081307A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Trasparenza della Società è stato ricoperto dal 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dr. Vincenzo Di </w:t>
      </w:r>
      <w:proofErr w:type="spellStart"/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>Luccia</w:t>
      </w:r>
      <w:proofErr w:type="spellEnd"/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>.</w:t>
      </w:r>
    </w:p>
    <w:p w:rsidR="0081307A" w:rsidRPr="005901AE" w:rsidRDefault="0081307A" w:rsidP="0081307A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Strumenti di governo societario di cui all’art. 6 comma 3 del D.Lgs. 175/2016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L’articolo 6 comma 3 del Testo Unico precisa che le società a controllo pubblico valutano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l’opportunità di integrare, in considerazione delle dimensioni e delle caratteristiche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organizzative, le funzioni degli organi di controllo previsti a norma di legge e di statuto.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“a) Regolamenti interni volti a garantire la conformità dell'attività della società alle</w:t>
      </w:r>
      <w:r w:rsidR="0081307A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norme di tutela della concorrenza, comprese quelle in materia di concorrenza sleale,</w:t>
      </w:r>
      <w:r w:rsidR="0081307A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nonché alle norme di tutela della proprietà industriale o intellettuale”</w:t>
      </w:r>
    </w:p>
    <w:p w:rsidR="00541A6A" w:rsidRPr="005901AE" w:rsidRDefault="00541A6A" w:rsidP="0081307A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Con riferimento all'adozione di regolamenti interni volti a garantire la conformità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dell'attività della Società alle norme di tutela della concorrenza, comprese quelle in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materia di concorrenza sleale, nonché alle norme di tutela della proprietà industriale o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intellettuale (comma 3, lett. a), si precisa che l’attività di 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 Servizi S.r.l.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non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interferisce concretamente o presenta elementi di rischio rispetto alle normative di cui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sopra. 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“b) un ufficio di controllo interno strutturato secondo criteri di adeguatezza rispetto</w:t>
      </w:r>
      <w:r w:rsidR="0081307A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alla dimensione e alla complessità dell'impresa sociale, che collabora con l'organo di</w:t>
      </w:r>
      <w:r w:rsidR="0081307A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controllo statutario, riscontrando tempestivamente le richieste da questo provenienti,</w:t>
      </w:r>
      <w:r w:rsidR="0081307A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e trasmette periodicamente all'organo di controllo statutario relazioni sulla regolarità</w:t>
      </w:r>
      <w:r w:rsidR="0081307A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e l'efficienza della gestione”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In 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 Servizi S.r.l.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il controllo della regolarità e dell'efficienza della gestione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sono state affidate 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>al Sindaco Unico e al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Responsabile per la prevenzione della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lastRenderedPageBreak/>
        <w:t>corruzione e Trasparenza. Tali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organismi nell’ambito delle rispettive competenze valutano l’adeguatezza, della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funzionalità e affidabilità delle procedure aziendali per contribuire alla regolarità della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gestione nonché al miglioramento dei processi di gest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ione del rischio, promuovendo in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azienda la cultura dei rischi e dei controlli.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Secondo le rispettive competenze ed attribuzioni, tali Organismi relazionano in ordine alle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attività svolte e tanto garantisce la produzione e lo scambio di flussi informativi attinenti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la regolarità e la efficienza della gestione.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In considerazione di quanto sopra, si ritiene che 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 Servizi S.r.l.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sia già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adeguatamente strutturata per quanto concerne le attività di controllo interno e che la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creazione di specifici uffici di controllo interno non sia indispensabile agli obiettivi di</w:t>
      </w:r>
      <w:r w:rsidR="0081307A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regolarità ed efficienza della gestione previsti dalla norma in esame, il cui perseguimento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si ritiene invece già possibile con l’attuale assetto organizzativo.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“c) codici di condotta propri, o adesione a codici di condotta collettivi aventi a oggetto</w:t>
      </w:r>
      <w:r w:rsidR="00A2423E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la disciplina dei comportamenti imprenditoriali nei confronti di consumatori, utenti,</w:t>
      </w:r>
      <w:r w:rsidR="00A2423E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dipendenti e collaboratori, nonché altri portatori di legittimi interessi coinvolti</w:t>
      </w:r>
      <w:r w:rsidR="00A2423E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nell'attività della società”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In ordine alla tematica in oggetto, si segnala che </w:t>
      </w:r>
      <w:r w:rsidR="00F11750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 Servizi S.r.l.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rispetta le aspettative legittime dei propri stakeholder, ovvero quei soggetti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(cittadini, amministratori, sindaci, dirigenti, dipendenti, collaboratori, finanziatori, clienti,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fornitori, Pubblica Amministrazione, partner, ecc.) che intrattengono con l’azienda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relazioni significative e i cui interessi sono a vario titolo coinvolti nella sua attività in modo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coerente con la propria </w:t>
      </w:r>
      <w:r w:rsidRPr="00A2423E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>mission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. La Società aspira a mantenere e sviluppare il rapporto di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fiducia con gli stakeholder di riferimento e cerca di perseguire la propria </w:t>
      </w:r>
      <w:r w:rsidRPr="00A2423E">
        <w:rPr>
          <w:rFonts w:ascii="Arial" w:eastAsia="CIDFont+F1" w:hAnsi="Arial" w:cs="Arial"/>
          <w:i/>
          <w:color w:val="000000"/>
          <w:sz w:val="24"/>
          <w:szCs w:val="24"/>
          <w:lang w:val="it-IT"/>
        </w:rPr>
        <w:t>mission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, che si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realizza nel soddisfacimento degli interessi dei cittadini relativamente alla gestione dei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servizi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>.</w:t>
      </w:r>
    </w:p>
    <w:p w:rsidR="00541A6A" w:rsidRPr="005901AE" w:rsidRDefault="00541A6A" w:rsidP="00A2423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I rapporti con tali soggetti, a tutti i livelli, devono essere improntati a criteri e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comportamenti di correttezza, collaborazione, lealtà e reciproco rispetto. 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L’attuazione del </w:t>
      </w:r>
      <w:r w:rsidR="00A2423E"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Piano Triennale per la Prevenzione della Corruzione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risponde all’obiettivo della Società di perseguire una corretta e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trasparente gestione delle attività istituzionalmente svolte, in linea con le diverse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disposizioni di legge ed i principi di corretta amministrazione.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Il PTPC è inoltre finalizzato ad assicurare la correttezza dei rapporti tra </w:t>
      </w:r>
      <w:r w:rsid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Servizi S.r.l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. e tutti coloro i quali con la stessa intrattengono relazioni con la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lastRenderedPageBreak/>
        <w:t>consapevolezza che il manifestarsi di fenomeni di corruzione, oltre a produrre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conseguenze sul piano penale a carico del soggetto che commette la violazione,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determina un danno per la Società stessa.</w:t>
      </w:r>
    </w:p>
    <w:p w:rsidR="00A2423E" w:rsidRDefault="00A2423E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2F5497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Programma di valutazione del rischio di crisi aziendale ai sensi dell’art. 6 co. 2 e</w:t>
      </w:r>
      <w:r w:rsidR="00A2423E">
        <w:rPr>
          <w:rFonts w:ascii="Arial" w:eastAsia="CIDFont+F1" w:hAnsi="Arial" w:cs="Arial"/>
          <w:color w:val="2F5497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2F5497"/>
          <w:sz w:val="24"/>
          <w:szCs w:val="24"/>
          <w:lang w:val="it-IT"/>
        </w:rPr>
        <w:t>dell’art. 14 co. 2 del D.Lgs. 175/2016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L’articolo 6 co. 2 del D.Lgs. 175/2016 sancisce che “Le società a controllo pubblico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predispongono specifici programmi di valutazione del rischio di crisi aziendale e ne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informano l'assemblea nell'ambito della relazione di cui al comma 4”.</w:t>
      </w:r>
    </w:p>
    <w:p w:rsidR="00541A6A" w:rsidRPr="005901AE" w:rsidRDefault="00541A6A" w:rsidP="005901AE">
      <w:pPr>
        <w:widowControl/>
        <w:adjustRightInd w:val="0"/>
        <w:spacing w:line="360" w:lineRule="auto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A tal fine, anche sulla base della analisi delle indicazioni contenute nei documenti tecnici in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tema di crisi aziendale, la 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>Castellabate Servizi S.r.l.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ha ritenuto di strutturare il proprio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programma di valutazione del rischio di crisi aziendale attorno alla individuazione di un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set di indicatori, per ognuno dei quali è stata fissata la soglia di allarme, il cui superamento</w:t>
      </w:r>
      <w:r w:rsidR="00A2423E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</w:t>
      </w: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deve essere inteso come segnale di allarme rispetto alla stabilità aziendale.</w:t>
      </w:r>
    </w:p>
    <w:tbl>
      <w:tblPr>
        <w:tblStyle w:val="Grigliatabella"/>
        <w:tblW w:w="0" w:type="auto"/>
        <w:jc w:val="center"/>
        <w:tblLook w:val="04A0"/>
      </w:tblPr>
      <w:tblGrid>
        <w:gridCol w:w="339"/>
        <w:gridCol w:w="6147"/>
        <w:gridCol w:w="3200"/>
      </w:tblGrid>
      <w:tr w:rsidR="00A2423E" w:rsidTr="0006713E">
        <w:trPr>
          <w:jc w:val="center"/>
        </w:trPr>
        <w:tc>
          <w:tcPr>
            <w:tcW w:w="250" w:type="dxa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HAnsi" w:hAnsi="CIDFont+F1" w:cs="CIDFont+F1"/>
                <w:color w:val="000000"/>
              </w:rPr>
            </w:pPr>
          </w:p>
        </w:tc>
        <w:tc>
          <w:tcPr>
            <w:tcW w:w="6156" w:type="dxa"/>
            <w:shd w:val="clear" w:color="auto" w:fill="C6D9F1" w:themeFill="text2" w:themeFillTint="33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INDICATORI</w:t>
            </w:r>
          </w:p>
        </w:tc>
        <w:tc>
          <w:tcPr>
            <w:tcW w:w="3204" w:type="dxa"/>
            <w:shd w:val="clear" w:color="auto" w:fill="C6D9F1" w:themeFill="text2" w:themeFillTint="33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 xml:space="preserve">SOGLIA </w:t>
            </w:r>
            <w:proofErr w:type="spellStart"/>
            <w:r>
              <w:rPr>
                <w:rFonts w:ascii="CIDFont+F1" w:eastAsiaTheme="minorHAnsi" w:hAnsi="CIDFont+F1" w:cs="CIDFont+F1"/>
                <w:color w:val="000000"/>
              </w:rPr>
              <w:t>DI</w:t>
            </w:r>
            <w:proofErr w:type="spellEnd"/>
            <w:r>
              <w:rPr>
                <w:rFonts w:ascii="CIDFont+F1" w:eastAsiaTheme="minorHAnsi" w:hAnsi="CIDFont+F1" w:cs="CIDFont+F1"/>
                <w:color w:val="000000"/>
              </w:rPr>
              <w:t xml:space="preserve"> ALLARME</w:t>
            </w:r>
          </w:p>
        </w:tc>
      </w:tr>
      <w:tr w:rsidR="00A2423E" w:rsidTr="0006713E">
        <w:trPr>
          <w:jc w:val="center"/>
        </w:trPr>
        <w:tc>
          <w:tcPr>
            <w:tcW w:w="250" w:type="dxa"/>
          </w:tcPr>
          <w:p w:rsidR="00A2423E" w:rsidRDefault="00A2423E" w:rsidP="0006713E">
            <w:pPr>
              <w:adjustRightInd w:val="0"/>
              <w:spacing w:line="276" w:lineRule="auto"/>
              <w:jc w:val="both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1</w:t>
            </w:r>
          </w:p>
        </w:tc>
        <w:tc>
          <w:tcPr>
            <w:tcW w:w="6156" w:type="dxa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Patrimonio Netto/Valore nominale del Capitale sociale</w:t>
            </w:r>
          </w:p>
        </w:tc>
        <w:tc>
          <w:tcPr>
            <w:tcW w:w="3204" w:type="dxa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&lt; 0,70</w:t>
            </w:r>
          </w:p>
        </w:tc>
      </w:tr>
      <w:tr w:rsidR="00A2423E" w:rsidTr="0006713E">
        <w:trPr>
          <w:jc w:val="center"/>
        </w:trPr>
        <w:tc>
          <w:tcPr>
            <w:tcW w:w="250" w:type="dxa"/>
          </w:tcPr>
          <w:p w:rsidR="00A2423E" w:rsidRDefault="00A2423E" w:rsidP="0006713E">
            <w:pPr>
              <w:adjustRightInd w:val="0"/>
              <w:spacing w:line="276" w:lineRule="auto"/>
              <w:jc w:val="both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2</w:t>
            </w:r>
          </w:p>
        </w:tc>
        <w:tc>
          <w:tcPr>
            <w:tcW w:w="6156" w:type="dxa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Numero di esercizi consecutivi con risultato economico negativo</w:t>
            </w:r>
          </w:p>
        </w:tc>
        <w:tc>
          <w:tcPr>
            <w:tcW w:w="3204" w:type="dxa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&gt; 3</w:t>
            </w:r>
          </w:p>
        </w:tc>
      </w:tr>
      <w:tr w:rsidR="00A2423E" w:rsidTr="0006713E">
        <w:trPr>
          <w:jc w:val="center"/>
        </w:trPr>
        <w:tc>
          <w:tcPr>
            <w:tcW w:w="250" w:type="dxa"/>
          </w:tcPr>
          <w:p w:rsidR="00A2423E" w:rsidRDefault="00A2423E" w:rsidP="0006713E">
            <w:pPr>
              <w:adjustRightInd w:val="0"/>
              <w:spacing w:line="276" w:lineRule="auto"/>
              <w:jc w:val="both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3</w:t>
            </w:r>
          </w:p>
        </w:tc>
        <w:tc>
          <w:tcPr>
            <w:tcW w:w="6156" w:type="dxa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HAnsi" w:hAnsi="CIDFont+F1" w:cs="CIDFont+F1"/>
                <w:color w:val="000000"/>
              </w:rPr>
            </w:pPr>
            <w:r w:rsidRPr="1AF95ABD">
              <w:rPr>
                <w:rFonts w:ascii="CIDFont+F1" w:eastAsia="CIDFont+F1" w:hAnsi="CIDFont+F1" w:cs="CIDFont+F1"/>
              </w:rPr>
              <w:t>Margine Operativo Lordo (MOL</w:t>
            </w:r>
            <w:r>
              <w:rPr>
                <w:rFonts w:ascii="CIDFont+F1" w:eastAsia="CIDFont+F1" w:hAnsi="CIDFont+F1" w:cs="CIDFont+F1"/>
              </w:rPr>
              <w:t xml:space="preserve"> o EBITDA</w:t>
            </w:r>
            <w:r w:rsidRPr="1AF95ABD">
              <w:rPr>
                <w:rFonts w:ascii="CIDFont+F1" w:eastAsia="CIDFont+F1" w:hAnsi="CIDFont+F1" w:cs="CIDFont+F1"/>
              </w:rPr>
              <w:t>)</w:t>
            </w:r>
          </w:p>
        </w:tc>
        <w:tc>
          <w:tcPr>
            <w:tcW w:w="3204" w:type="dxa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="CIDFont+F1" w:hAnsi="CIDFont+F1" w:cs="CIDFont+F1"/>
              </w:rPr>
              <w:t>Negativo per tre esercizi consecutivi</w:t>
            </w:r>
            <w:r w:rsidRPr="1AF95ABD">
              <w:rPr>
                <w:rFonts w:ascii="CIDFont+F1" w:eastAsia="CIDFont+F1" w:hAnsi="CIDFont+F1" w:cs="CIDFont+F1"/>
              </w:rPr>
              <w:t xml:space="preserve"> </w:t>
            </w:r>
          </w:p>
        </w:tc>
      </w:tr>
      <w:tr w:rsidR="00A2423E" w:rsidTr="0006713E">
        <w:trPr>
          <w:jc w:val="center"/>
        </w:trPr>
        <w:tc>
          <w:tcPr>
            <w:tcW w:w="250" w:type="dxa"/>
          </w:tcPr>
          <w:p w:rsidR="00A2423E" w:rsidRDefault="00A2423E" w:rsidP="0006713E">
            <w:pPr>
              <w:adjustRightInd w:val="0"/>
              <w:spacing w:line="276" w:lineRule="auto"/>
              <w:jc w:val="both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4</w:t>
            </w:r>
          </w:p>
        </w:tc>
        <w:tc>
          <w:tcPr>
            <w:tcW w:w="6156" w:type="dxa"/>
          </w:tcPr>
          <w:p w:rsidR="00A2423E" w:rsidRDefault="00A2423E" w:rsidP="0006713E">
            <w:r w:rsidRPr="1AF95ABD">
              <w:rPr>
                <w:rFonts w:ascii="CIDFont+F1" w:eastAsia="CIDFont+F1" w:hAnsi="CIDFont+F1" w:cs="CIDFont+F1"/>
              </w:rPr>
              <w:t xml:space="preserve">Presenza di rilievi sulla continuità nella relazione redatta dal revisore legale </w:t>
            </w:r>
          </w:p>
        </w:tc>
        <w:tc>
          <w:tcPr>
            <w:tcW w:w="3204" w:type="dxa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EastAsia" w:hAnsi="CIDFont+F1" w:cs="CIDFont+F1"/>
                <w:color w:val="000000" w:themeColor="text1"/>
              </w:rPr>
            </w:pPr>
            <w:r w:rsidRPr="1AF95ABD">
              <w:rPr>
                <w:rFonts w:ascii="CIDFont+F1" w:eastAsiaTheme="minorEastAsia" w:hAnsi="CIDFont+F1" w:cs="CIDFont+F1"/>
                <w:color w:val="000000" w:themeColor="text1"/>
              </w:rPr>
              <w:t>Sì</w:t>
            </w:r>
          </w:p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EastAsia" w:hAnsi="CIDFont+F1" w:cs="CIDFont+F1"/>
                <w:color w:val="000000" w:themeColor="text1"/>
              </w:rPr>
            </w:pPr>
          </w:p>
        </w:tc>
      </w:tr>
      <w:tr w:rsidR="00A2423E" w:rsidTr="0006713E">
        <w:trPr>
          <w:jc w:val="center"/>
        </w:trPr>
        <w:tc>
          <w:tcPr>
            <w:tcW w:w="250" w:type="dxa"/>
          </w:tcPr>
          <w:p w:rsidR="00A2423E" w:rsidRDefault="00A2423E" w:rsidP="0006713E">
            <w:pPr>
              <w:adjustRightInd w:val="0"/>
              <w:spacing w:line="276" w:lineRule="auto"/>
              <w:jc w:val="both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5</w:t>
            </w:r>
          </w:p>
        </w:tc>
        <w:tc>
          <w:tcPr>
            <w:tcW w:w="6156" w:type="dxa"/>
          </w:tcPr>
          <w:p w:rsidR="00A2423E" w:rsidRDefault="00A2423E" w:rsidP="0006713E">
            <w:r w:rsidRPr="1AF95ABD">
              <w:rPr>
                <w:rFonts w:ascii="CIDFont+F1" w:eastAsia="CIDFont+F1" w:hAnsi="CIDFont+F1" w:cs="CIDFont+F1"/>
              </w:rPr>
              <w:t>Presenza di contenziosi legali e fiscali che, in caso di soccombenza, potrebbero comportare obblighi di risarcimento che l’impresa non è in grado di rispettare</w:t>
            </w:r>
          </w:p>
        </w:tc>
        <w:tc>
          <w:tcPr>
            <w:tcW w:w="3204" w:type="dxa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EastAsia" w:hAnsi="CIDFont+F1" w:cs="CIDFont+F1"/>
                <w:color w:val="000000" w:themeColor="text1"/>
              </w:rPr>
            </w:pPr>
            <w:r w:rsidRPr="1AF95ABD">
              <w:rPr>
                <w:rFonts w:ascii="CIDFont+F1" w:eastAsiaTheme="minorEastAsia" w:hAnsi="CIDFont+F1" w:cs="CIDFont+F1"/>
                <w:color w:val="000000" w:themeColor="text1"/>
              </w:rPr>
              <w:t>Sì</w:t>
            </w:r>
          </w:p>
        </w:tc>
      </w:tr>
      <w:tr w:rsidR="00A2423E" w:rsidTr="0006713E">
        <w:trPr>
          <w:jc w:val="center"/>
        </w:trPr>
        <w:tc>
          <w:tcPr>
            <w:tcW w:w="250" w:type="dxa"/>
          </w:tcPr>
          <w:p w:rsidR="00A2423E" w:rsidRDefault="00A2423E" w:rsidP="0006713E">
            <w:pPr>
              <w:adjustRightInd w:val="0"/>
              <w:spacing w:line="276" w:lineRule="auto"/>
              <w:jc w:val="both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6</w:t>
            </w:r>
          </w:p>
        </w:tc>
        <w:tc>
          <w:tcPr>
            <w:tcW w:w="6156" w:type="dxa"/>
          </w:tcPr>
          <w:p w:rsidR="00A2423E" w:rsidRDefault="00A2423E" w:rsidP="0006713E">
            <w:r w:rsidRPr="1AF95ABD">
              <w:rPr>
                <w:rFonts w:ascii="CIDFont+F1" w:eastAsia="CIDFont+F1" w:hAnsi="CIDFont+F1" w:cs="CIDFont+F1"/>
              </w:rPr>
              <w:t>Modifiche legislative o politiche governative dalle quali si attendono effetti sfavorevoli all’impresa</w:t>
            </w:r>
          </w:p>
        </w:tc>
        <w:tc>
          <w:tcPr>
            <w:tcW w:w="3204" w:type="dxa"/>
          </w:tcPr>
          <w:p w:rsidR="00A2423E" w:rsidRDefault="00A2423E" w:rsidP="0006713E">
            <w:pPr>
              <w:adjustRightInd w:val="0"/>
              <w:spacing w:line="276" w:lineRule="auto"/>
              <w:jc w:val="center"/>
              <w:rPr>
                <w:rFonts w:ascii="CIDFont+F1" w:eastAsiaTheme="minorEastAsia" w:hAnsi="CIDFont+F1" w:cs="CIDFont+F1"/>
                <w:color w:val="000000" w:themeColor="text1"/>
              </w:rPr>
            </w:pPr>
            <w:r w:rsidRPr="1AF95ABD">
              <w:rPr>
                <w:rFonts w:ascii="CIDFont+F1" w:eastAsiaTheme="minorEastAsia" w:hAnsi="CIDFont+F1" w:cs="CIDFont+F1"/>
                <w:color w:val="000000" w:themeColor="text1"/>
              </w:rPr>
              <w:t>Sì</w:t>
            </w:r>
          </w:p>
        </w:tc>
      </w:tr>
    </w:tbl>
    <w:p w:rsidR="00A2423E" w:rsidRDefault="00A2423E" w:rsidP="005901AE">
      <w:pPr>
        <w:spacing w:before="5" w:line="360" w:lineRule="auto"/>
        <w:ind w:left="526" w:right="471"/>
        <w:jc w:val="both"/>
        <w:rPr>
          <w:rFonts w:ascii="Arial" w:eastAsia="CIDFont+F1" w:hAnsi="Arial" w:cs="Arial"/>
          <w:color w:val="000000"/>
          <w:sz w:val="24"/>
          <w:szCs w:val="24"/>
          <w:lang w:val="it-IT"/>
        </w:rPr>
      </w:pPr>
    </w:p>
    <w:p w:rsidR="00263500" w:rsidRPr="005901AE" w:rsidRDefault="00541A6A" w:rsidP="00A2423E">
      <w:pPr>
        <w:spacing w:before="5" w:line="360" w:lineRule="auto"/>
        <w:ind w:right="471"/>
        <w:jc w:val="both"/>
        <w:rPr>
          <w:rFonts w:ascii="Arial" w:hAnsi="Arial" w:cs="Arial"/>
          <w:b/>
          <w:color w:val="2D74B5"/>
          <w:sz w:val="24"/>
          <w:szCs w:val="24"/>
        </w:rPr>
      </w:pPr>
      <w:r w:rsidRPr="005901AE">
        <w:rPr>
          <w:rFonts w:ascii="Arial" w:eastAsia="CIDFont+F1" w:hAnsi="Arial" w:cs="Arial"/>
          <w:color w:val="000000"/>
          <w:sz w:val="24"/>
          <w:szCs w:val="24"/>
          <w:lang w:val="it-IT"/>
        </w:rPr>
        <w:t>L’analisi dimostra che nessuno degli indicatori supera la “soglia di allarme”</w:t>
      </w:r>
      <w:r w:rsidR="00FD0EE7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 anche consi</w:t>
      </w:r>
      <w:r w:rsidRPr="005901AE">
        <w:rPr>
          <w:rFonts w:ascii="Arial" w:hAnsi="Arial" w:cs="Arial"/>
          <w:b/>
          <w:noProof/>
          <w:color w:val="2D74B5"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8234680</wp:posOffset>
            </wp:positionV>
            <wp:extent cx="276225" cy="361950"/>
            <wp:effectExtent l="0" t="0" r="0" b="0"/>
            <wp:wrapSquare wrapText="bothSides"/>
            <wp:docPr id="1" name="Immagin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EE7">
        <w:rPr>
          <w:rFonts w:ascii="Arial" w:eastAsia="CIDFont+F1" w:hAnsi="Arial" w:cs="Arial"/>
          <w:color w:val="000000"/>
          <w:sz w:val="24"/>
          <w:szCs w:val="24"/>
          <w:lang w:val="it-IT"/>
        </w:rPr>
        <w:t xml:space="preserve">derando che trattasi del primo esercizio di attività della Società. </w:t>
      </w:r>
    </w:p>
    <w:sectPr w:rsidR="00263500" w:rsidRPr="005901AE" w:rsidSect="003C36E3">
      <w:headerReference w:type="default" r:id="rId9"/>
      <w:footerReference w:type="default" r:id="rId10"/>
      <w:pgSz w:w="11910" w:h="16840"/>
      <w:pgMar w:top="1280" w:right="1220" w:bottom="1180" w:left="122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66" w:rsidRDefault="004D2066">
      <w:r>
        <w:separator/>
      </w:r>
    </w:p>
  </w:endnote>
  <w:endnote w:type="continuationSeparator" w:id="0">
    <w:p w:rsidR="004D2066" w:rsidRDefault="004D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F7" w:rsidRPr="00B10100" w:rsidRDefault="00AA50F7" w:rsidP="00AA50F7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  <w:r>
      <w:rPr>
        <w:rFonts w:ascii="Garamond" w:hAnsi="Garamond"/>
        <w:b/>
        <w:noProof/>
        <w:color w:val="1F497D" w:themeColor="text2"/>
        <w:sz w:val="14"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2868740</wp:posOffset>
          </wp:positionH>
          <wp:positionV relativeFrom="paragraph">
            <wp:posOffset>79375</wp:posOffset>
          </wp:positionV>
          <wp:extent cx="273050" cy="357505"/>
          <wp:effectExtent l="0" t="0" r="0" b="0"/>
          <wp:wrapSquare wrapText="bothSides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3500" w:rsidRDefault="00447AE3">
    <w:pPr>
      <w:pStyle w:val="Corpodeltesto"/>
      <w:spacing w:line="14" w:lineRule="auto"/>
      <w:rPr>
        <w:sz w:val="20"/>
      </w:rPr>
    </w:pPr>
    <w:r w:rsidRPr="00447A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128.95pt;margin-top:26.65pt;width:227.85pt;height:2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93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" filled="f" stroked="f">
          <v:textbox>
            <w:txbxContent>
              <w:p w:rsidR="00AA50F7" w:rsidRDefault="00AA50F7" w:rsidP="00AA50F7">
                <w:pPr>
                  <w:jc w:val="center"/>
                </w:pPr>
                <w:r w:rsidRPr="00B10100">
                  <w:rPr>
                    <w:rFonts w:ascii="Garamond" w:hAnsi="Garamond"/>
                    <w:b/>
                    <w:color w:val="1F497D" w:themeColor="text2"/>
                    <w:sz w:val="14"/>
                  </w:rPr>
                  <w:t>SOCIETÀ IN HOUSE DEL COMUNE DI CASTELLABATE</w:t>
                </w:r>
              </w:p>
            </w:txbxContent>
          </v:textbox>
        </v:shape>
      </w:pict>
    </w:r>
    <w:r w:rsidRPr="00447AE3">
      <w:rPr>
        <w:noProof/>
      </w:rPr>
      <w:pict>
        <v:shape id="Text Box 1" o:spid="_x0000_s6145" type="#_x0000_t202" style="position:absolute;margin-left:521.2pt;margin-top:781pt;width:9.6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zp3V6+IAAAAPAQAA&#10;DwAAAAAAAAAAAAAAAAAGBQAAZHJzL2Rvd25yZXYueG1sUEsFBgAAAAAEAAQA8wAAABUGAAAAAA==&#10;" filled="f" stroked="f">
          <v:textbox inset="0,0,0,0">
            <w:txbxContent>
              <w:p w:rsidR="00263500" w:rsidRDefault="00447AE3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97520D">
                  <w:instrText xml:space="preserve"> PAGE </w:instrText>
                </w:r>
                <w:r>
                  <w:fldChar w:fldCharType="separate"/>
                </w:r>
                <w:r w:rsidR="00FD0EE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66" w:rsidRDefault="004D2066">
      <w:bookmarkStart w:id="0" w:name="_Hlk486583123"/>
      <w:bookmarkEnd w:id="0"/>
      <w:r>
        <w:separator/>
      </w:r>
    </w:p>
  </w:footnote>
  <w:footnote w:type="continuationSeparator" w:id="0">
    <w:p w:rsidR="004D2066" w:rsidRDefault="004D2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00" w:rsidRDefault="00704F05" w:rsidP="00B10100">
    <w:pPr>
      <w:spacing w:before="5" w:line="207" w:lineRule="exact"/>
      <w:ind w:left="526" w:right="471"/>
      <w:jc w:val="center"/>
      <w:rPr>
        <w:rFonts w:ascii="Times New Roman" w:hAnsi="Times New Roman"/>
        <w:b/>
        <w:color w:val="2D74B5"/>
        <w:sz w:val="18"/>
      </w:rPr>
    </w:pPr>
    <w:r w:rsidRPr="00B10100">
      <w:rPr>
        <w:rFonts w:ascii="Garamond" w:hAnsi="Garamond"/>
        <w:noProof/>
        <w:color w:val="1F497D" w:themeColor="text2"/>
        <w:sz w:val="18"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-247015</wp:posOffset>
          </wp:positionV>
          <wp:extent cx="1247775" cy="981075"/>
          <wp:effectExtent l="0" t="0" r="952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astellabate_serviz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0100" w:rsidRDefault="00B10100" w:rsidP="00B10100">
    <w:pPr>
      <w:spacing w:before="5" w:line="207" w:lineRule="exact"/>
      <w:ind w:left="526" w:right="471"/>
      <w:jc w:val="center"/>
      <w:rPr>
        <w:rFonts w:ascii="Times New Roman" w:hAnsi="Times New Roman"/>
        <w:b/>
        <w:color w:val="2D74B5"/>
        <w:sz w:val="18"/>
      </w:rPr>
    </w:pPr>
  </w:p>
  <w:p w:rsidR="00704F05" w:rsidRDefault="00704F05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704F05" w:rsidRDefault="00704F05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704F05" w:rsidRDefault="00704F05" w:rsidP="00AA50F7">
    <w:pPr>
      <w:spacing w:before="5"/>
      <w:ind w:left="526" w:right="471"/>
      <w:rPr>
        <w:rFonts w:ascii="Garamond" w:hAnsi="Garamond"/>
        <w:b/>
        <w:color w:val="1F497D" w:themeColor="text2"/>
        <w:sz w:val="14"/>
      </w:rPr>
    </w:pPr>
  </w:p>
  <w:p w:rsidR="00704F05" w:rsidRDefault="00704F05" w:rsidP="00B10100">
    <w:pPr>
      <w:spacing w:before="5"/>
      <w:ind w:left="526" w:right="471"/>
      <w:jc w:val="center"/>
      <w:rPr>
        <w:rFonts w:ascii="Garamond" w:hAnsi="Garamond"/>
        <w:b/>
        <w:color w:val="1F497D" w:themeColor="text2"/>
        <w:sz w:val="14"/>
      </w:rPr>
    </w:pPr>
  </w:p>
  <w:p w:rsidR="00D4503D" w:rsidRDefault="00D4503D" w:rsidP="00B10100">
    <w:pPr>
      <w:ind w:left="1854" w:right="1851"/>
      <w:jc w:val="center"/>
      <w:rPr>
        <w:rFonts w:ascii="Garamond" w:hAnsi="Garamond"/>
        <w:b/>
        <w:color w:val="1F497D" w:themeColor="text2"/>
        <w:sz w:val="14"/>
      </w:rPr>
    </w:pPr>
  </w:p>
  <w:p w:rsidR="00B10100" w:rsidRPr="00B10100" w:rsidRDefault="00B10100" w:rsidP="00B10100">
    <w:pPr>
      <w:ind w:left="1854" w:right="1851"/>
      <w:jc w:val="center"/>
      <w:rPr>
        <w:rFonts w:ascii="Garamond" w:hAnsi="Garamond"/>
        <w:b/>
        <w:color w:val="1F497D" w:themeColor="text2"/>
        <w:sz w:val="14"/>
      </w:rPr>
    </w:pPr>
    <w:r w:rsidRPr="00B10100">
      <w:rPr>
        <w:rFonts w:ascii="Garamond" w:hAnsi="Garamond"/>
        <w:b/>
        <w:color w:val="1F497D" w:themeColor="text2"/>
        <w:sz w:val="14"/>
      </w:rPr>
      <w:t>Via Roma n.5 - 84048  Castellabate (SA)</w:t>
    </w:r>
  </w:p>
  <w:p w:rsidR="00B10100" w:rsidRPr="00B10100" w:rsidRDefault="00B10100" w:rsidP="00B10100">
    <w:pPr>
      <w:ind w:left="526" w:right="522"/>
      <w:jc w:val="center"/>
      <w:rPr>
        <w:rFonts w:ascii="Garamond" w:hAnsi="Garamond"/>
        <w:b/>
        <w:color w:val="1F497D" w:themeColor="text2"/>
        <w:sz w:val="14"/>
      </w:rPr>
    </w:pPr>
    <w:proofErr w:type="spellStart"/>
    <w:r w:rsidRPr="00B10100">
      <w:rPr>
        <w:rFonts w:ascii="Garamond" w:hAnsi="Garamond"/>
        <w:b/>
        <w:color w:val="1F497D" w:themeColor="text2"/>
        <w:sz w:val="14"/>
      </w:rPr>
      <w:t>Capitale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sociale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euro € 40.000,00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i.v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. </w:t>
    </w:r>
  </w:p>
  <w:p w:rsidR="00B10100" w:rsidRPr="00B10100" w:rsidRDefault="00B10100" w:rsidP="00B10100">
    <w:pPr>
      <w:ind w:left="526" w:right="522"/>
      <w:jc w:val="center"/>
      <w:rPr>
        <w:rFonts w:ascii="Garamond" w:hAnsi="Garamond"/>
        <w:b/>
        <w:color w:val="1F497D" w:themeColor="text2"/>
        <w:sz w:val="14"/>
      </w:rPr>
    </w:pPr>
    <w:r w:rsidRPr="00B10100">
      <w:rPr>
        <w:rFonts w:ascii="Garamond" w:hAnsi="Garamond"/>
        <w:b/>
        <w:color w:val="1F497D" w:themeColor="text2"/>
        <w:sz w:val="14"/>
      </w:rPr>
      <w:t xml:space="preserve">Partita IVA e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Codice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</w:t>
    </w:r>
    <w:proofErr w:type="spellStart"/>
    <w:r w:rsidRPr="00B10100">
      <w:rPr>
        <w:rFonts w:ascii="Garamond" w:hAnsi="Garamond"/>
        <w:b/>
        <w:color w:val="1F497D" w:themeColor="text2"/>
        <w:sz w:val="14"/>
      </w:rPr>
      <w:t>Fiscale</w:t>
    </w:r>
    <w:proofErr w:type="spellEnd"/>
    <w:r w:rsidRPr="00B10100">
      <w:rPr>
        <w:rFonts w:ascii="Garamond" w:hAnsi="Garamond"/>
        <w:b/>
        <w:color w:val="1F497D" w:themeColor="text2"/>
        <w:sz w:val="14"/>
      </w:rPr>
      <w:t xml:space="preserve"> 05610330655</w:t>
    </w:r>
  </w:p>
  <w:p w:rsidR="00B10100" w:rsidRDefault="00B10100" w:rsidP="00B10100">
    <w:pPr>
      <w:pStyle w:val="Intestazione"/>
      <w:jc w:val="center"/>
    </w:pPr>
  </w:p>
  <w:p w:rsidR="00B10100" w:rsidRDefault="00B101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52C"/>
    <w:multiLevelType w:val="hybridMultilevel"/>
    <w:tmpl w:val="9B9AE060"/>
    <w:lvl w:ilvl="0" w:tplc="6F381CAE">
      <w:start w:val="1"/>
      <w:numFmt w:val="lowerLetter"/>
      <w:lvlText w:val="%1)"/>
      <w:lvlJc w:val="left"/>
      <w:pPr>
        <w:ind w:left="114" w:hanging="212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8778A33C">
      <w:numFmt w:val="bullet"/>
      <w:lvlText w:val="•"/>
      <w:lvlJc w:val="left"/>
      <w:pPr>
        <w:ind w:left="1054" w:hanging="212"/>
      </w:pPr>
      <w:rPr>
        <w:rFonts w:hint="default"/>
      </w:rPr>
    </w:lvl>
    <w:lvl w:ilvl="2" w:tplc="C856139C">
      <w:numFmt w:val="bullet"/>
      <w:lvlText w:val="•"/>
      <w:lvlJc w:val="left"/>
      <w:pPr>
        <w:ind w:left="1988" w:hanging="212"/>
      </w:pPr>
      <w:rPr>
        <w:rFonts w:hint="default"/>
      </w:rPr>
    </w:lvl>
    <w:lvl w:ilvl="3" w:tplc="B6046998">
      <w:numFmt w:val="bullet"/>
      <w:lvlText w:val="•"/>
      <w:lvlJc w:val="left"/>
      <w:pPr>
        <w:ind w:left="2923" w:hanging="212"/>
      </w:pPr>
      <w:rPr>
        <w:rFonts w:hint="default"/>
      </w:rPr>
    </w:lvl>
    <w:lvl w:ilvl="4" w:tplc="6F965014">
      <w:numFmt w:val="bullet"/>
      <w:lvlText w:val="•"/>
      <w:lvlJc w:val="left"/>
      <w:pPr>
        <w:ind w:left="3857" w:hanging="212"/>
      </w:pPr>
      <w:rPr>
        <w:rFonts w:hint="default"/>
      </w:rPr>
    </w:lvl>
    <w:lvl w:ilvl="5" w:tplc="9F646FAC">
      <w:numFmt w:val="bullet"/>
      <w:lvlText w:val="•"/>
      <w:lvlJc w:val="left"/>
      <w:pPr>
        <w:ind w:left="4792" w:hanging="212"/>
      </w:pPr>
      <w:rPr>
        <w:rFonts w:hint="default"/>
      </w:rPr>
    </w:lvl>
    <w:lvl w:ilvl="6" w:tplc="B6AEABF8">
      <w:numFmt w:val="bullet"/>
      <w:lvlText w:val="•"/>
      <w:lvlJc w:val="left"/>
      <w:pPr>
        <w:ind w:left="5726" w:hanging="212"/>
      </w:pPr>
      <w:rPr>
        <w:rFonts w:hint="default"/>
      </w:rPr>
    </w:lvl>
    <w:lvl w:ilvl="7" w:tplc="B598254A">
      <w:numFmt w:val="bullet"/>
      <w:lvlText w:val="•"/>
      <w:lvlJc w:val="left"/>
      <w:pPr>
        <w:ind w:left="6660" w:hanging="212"/>
      </w:pPr>
      <w:rPr>
        <w:rFonts w:hint="default"/>
      </w:rPr>
    </w:lvl>
    <w:lvl w:ilvl="8" w:tplc="FC96A31A">
      <w:numFmt w:val="bullet"/>
      <w:lvlText w:val="•"/>
      <w:lvlJc w:val="left"/>
      <w:pPr>
        <w:ind w:left="7595" w:hanging="212"/>
      </w:pPr>
      <w:rPr>
        <w:rFonts w:hint="default"/>
      </w:rPr>
    </w:lvl>
  </w:abstractNum>
  <w:abstractNum w:abstractNumId="1">
    <w:nsid w:val="4064766F"/>
    <w:multiLevelType w:val="hybridMultilevel"/>
    <w:tmpl w:val="8DE61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37F4"/>
    <w:multiLevelType w:val="hybridMultilevel"/>
    <w:tmpl w:val="9600F146"/>
    <w:lvl w:ilvl="0" w:tplc="A8E04A02">
      <w:start w:val="1"/>
      <w:numFmt w:val="lowerLetter"/>
      <w:lvlText w:val="%1)"/>
      <w:lvlJc w:val="left"/>
      <w:pPr>
        <w:ind w:left="835" w:hanging="361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1" w:tplc="885EF1D4"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123261AE"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A8D44820">
      <w:numFmt w:val="bullet"/>
      <w:lvlText w:val="•"/>
      <w:lvlJc w:val="left"/>
      <w:pPr>
        <w:ind w:left="3427" w:hanging="361"/>
      </w:pPr>
      <w:rPr>
        <w:rFonts w:hint="default"/>
      </w:rPr>
    </w:lvl>
    <w:lvl w:ilvl="4" w:tplc="88B40B4E">
      <w:numFmt w:val="bullet"/>
      <w:lvlText w:val="•"/>
      <w:lvlJc w:val="left"/>
      <w:pPr>
        <w:ind w:left="4289" w:hanging="361"/>
      </w:pPr>
      <w:rPr>
        <w:rFonts w:hint="default"/>
      </w:rPr>
    </w:lvl>
    <w:lvl w:ilvl="5" w:tplc="088AD92A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CD4212E0">
      <w:numFmt w:val="bullet"/>
      <w:lvlText w:val="•"/>
      <w:lvlJc w:val="left"/>
      <w:pPr>
        <w:ind w:left="6014" w:hanging="361"/>
      </w:pPr>
      <w:rPr>
        <w:rFonts w:hint="default"/>
      </w:rPr>
    </w:lvl>
    <w:lvl w:ilvl="7" w:tplc="866E8D56"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F849BAC">
      <w:numFmt w:val="bullet"/>
      <w:lvlText w:val="•"/>
      <w:lvlJc w:val="left"/>
      <w:pPr>
        <w:ind w:left="7739" w:hanging="361"/>
      </w:pPr>
      <w:rPr>
        <w:rFonts w:hint="default"/>
      </w:rPr>
    </w:lvl>
  </w:abstractNum>
  <w:abstractNum w:abstractNumId="3">
    <w:nsid w:val="5A0E26D0"/>
    <w:multiLevelType w:val="hybridMultilevel"/>
    <w:tmpl w:val="4C782532"/>
    <w:lvl w:ilvl="0" w:tplc="46385CC0">
      <w:numFmt w:val="bullet"/>
      <w:lvlText w:val="-"/>
      <w:lvlJc w:val="left"/>
      <w:pPr>
        <w:ind w:left="114" w:hanging="13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B21EA056">
      <w:numFmt w:val="bullet"/>
      <w:lvlText w:val="•"/>
      <w:lvlJc w:val="left"/>
      <w:pPr>
        <w:ind w:left="840" w:hanging="130"/>
      </w:pPr>
      <w:rPr>
        <w:rFonts w:hint="default"/>
      </w:rPr>
    </w:lvl>
    <w:lvl w:ilvl="2" w:tplc="8C506548">
      <w:numFmt w:val="bullet"/>
      <w:lvlText w:val="•"/>
      <w:lvlJc w:val="left"/>
      <w:pPr>
        <w:ind w:left="1798" w:hanging="130"/>
      </w:pPr>
      <w:rPr>
        <w:rFonts w:hint="default"/>
      </w:rPr>
    </w:lvl>
    <w:lvl w:ilvl="3" w:tplc="DFB00FB8">
      <w:numFmt w:val="bullet"/>
      <w:lvlText w:val="•"/>
      <w:lvlJc w:val="left"/>
      <w:pPr>
        <w:ind w:left="2756" w:hanging="130"/>
      </w:pPr>
      <w:rPr>
        <w:rFonts w:hint="default"/>
      </w:rPr>
    </w:lvl>
    <w:lvl w:ilvl="4" w:tplc="43D6FC14">
      <w:numFmt w:val="bullet"/>
      <w:lvlText w:val="•"/>
      <w:lvlJc w:val="left"/>
      <w:pPr>
        <w:ind w:left="3714" w:hanging="130"/>
      </w:pPr>
      <w:rPr>
        <w:rFonts w:hint="default"/>
      </w:rPr>
    </w:lvl>
    <w:lvl w:ilvl="5" w:tplc="4866DAB6">
      <w:numFmt w:val="bullet"/>
      <w:lvlText w:val="•"/>
      <w:lvlJc w:val="left"/>
      <w:pPr>
        <w:ind w:left="4672" w:hanging="130"/>
      </w:pPr>
      <w:rPr>
        <w:rFonts w:hint="default"/>
      </w:rPr>
    </w:lvl>
    <w:lvl w:ilvl="6" w:tplc="28FCBBCC">
      <w:numFmt w:val="bullet"/>
      <w:lvlText w:val="•"/>
      <w:lvlJc w:val="left"/>
      <w:pPr>
        <w:ind w:left="5631" w:hanging="130"/>
      </w:pPr>
      <w:rPr>
        <w:rFonts w:hint="default"/>
      </w:rPr>
    </w:lvl>
    <w:lvl w:ilvl="7" w:tplc="21CCCF54">
      <w:numFmt w:val="bullet"/>
      <w:lvlText w:val="•"/>
      <w:lvlJc w:val="left"/>
      <w:pPr>
        <w:ind w:left="6589" w:hanging="130"/>
      </w:pPr>
      <w:rPr>
        <w:rFonts w:hint="default"/>
      </w:rPr>
    </w:lvl>
    <w:lvl w:ilvl="8" w:tplc="8656FA9C">
      <w:numFmt w:val="bullet"/>
      <w:lvlText w:val="•"/>
      <w:lvlJc w:val="left"/>
      <w:pPr>
        <w:ind w:left="7547" w:hanging="130"/>
      </w:pPr>
      <w:rPr>
        <w:rFonts w:hint="default"/>
      </w:rPr>
    </w:lvl>
  </w:abstractNum>
  <w:abstractNum w:abstractNumId="4">
    <w:nsid w:val="5A6C2724"/>
    <w:multiLevelType w:val="hybridMultilevel"/>
    <w:tmpl w:val="B3346810"/>
    <w:lvl w:ilvl="0" w:tplc="B3569DE8">
      <w:start w:val="1"/>
      <w:numFmt w:val="decimal"/>
      <w:lvlText w:val="%1)"/>
      <w:lvlJc w:val="left"/>
      <w:pPr>
        <w:ind w:left="114" w:hanging="216"/>
      </w:pPr>
      <w:rPr>
        <w:rFonts w:ascii="Calibri" w:eastAsia="Calibri" w:hAnsi="Calibri" w:cs="Calibri" w:hint="default"/>
        <w:spacing w:val="-2"/>
        <w:w w:val="100"/>
        <w:sz w:val="21"/>
        <w:szCs w:val="21"/>
      </w:rPr>
    </w:lvl>
    <w:lvl w:ilvl="1" w:tplc="424603F0">
      <w:numFmt w:val="bullet"/>
      <w:lvlText w:val="•"/>
      <w:lvlJc w:val="left"/>
      <w:pPr>
        <w:ind w:left="1054" w:hanging="216"/>
      </w:pPr>
      <w:rPr>
        <w:rFonts w:hint="default"/>
      </w:rPr>
    </w:lvl>
    <w:lvl w:ilvl="2" w:tplc="76AC1B82">
      <w:numFmt w:val="bullet"/>
      <w:lvlText w:val="•"/>
      <w:lvlJc w:val="left"/>
      <w:pPr>
        <w:ind w:left="1988" w:hanging="216"/>
      </w:pPr>
      <w:rPr>
        <w:rFonts w:hint="default"/>
      </w:rPr>
    </w:lvl>
    <w:lvl w:ilvl="3" w:tplc="9054653E">
      <w:numFmt w:val="bullet"/>
      <w:lvlText w:val="•"/>
      <w:lvlJc w:val="left"/>
      <w:pPr>
        <w:ind w:left="2923" w:hanging="216"/>
      </w:pPr>
      <w:rPr>
        <w:rFonts w:hint="default"/>
      </w:rPr>
    </w:lvl>
    <w:lvl w:ilvl="4" w:tplc="5930D8F2">
      <w:numFmt w:val="bullet"/>
      <w:lvlText w:val="•"/>
      <w:lvlJc w:val="left"/>
      <w:pPr>
        <w:ind w:left="3857" w:hanging="216"/>
      </w:pPr>
      <w:rPr>
        <w:rFonts w:hint="default"/>
      </w:rPr>
    </w:lvl>
    <w:lvl w:ilvl="5" w:tplc="713EEFF4">
      <w:numFmt w:val="bullet"/>
      <w:lvlText w:val="•"/>
      <w:lvlJc w:val="left"/>
      <w:pPr>
        <w:ind w:left="4792" w:hanging="216"/>
      </w:pPr>
      <w:rPr>
        <w:rFonts w:hint="default"/>
      </w:rPr>
    </w:lvl>
    <w:lvl w:ilvl="6" w:tplc="0860BA48">
      <w:numFmt w:val="bullet"/>
      <w:lvlText w:val="•"/>
      <w:lvlJc w:val="left"/>
      <w:pPr>
        <w:ind w:left="5726" w:hanging="216"/>
      </w:pPr>
      <w:rPr>
        <w:rFonts w:hint="default"/>
      </w:rPr>
    </w:lvl>
    <w:lvl w:ilvl="7" w:tplc="E8EADAE2">
      <w:numFmt w:val="bullet"/>
      <w:lvlText w:val="•"/>
      <w:lvlJc w:val="left"/>
      <w:pPr>
        <w:ind w:left="6660" w:hanging="216"/>
      </w:pPr>
      <w:rPr>
        <w:rFonts w:hint="default"/>
      </w:rPr>
    </w:lvl>
    <w:lvl w:ilvl="8" w:tplc="A9688D2A">
      <w:numFmt w:val="bullet"/>
      <w:lvlText w:val="•"/>
      <w:lvlJc w:val="left"/>
      <w:pPr>
        <w:ind w:left="7595" w:hanging="216"/>
      </w:pPr>
      <w:rPr>
        <w:rFonts w:hint="default"/>
      </w:rPr>
    </w:lvl>
  </w:abstractNum>
  <w:abstractNum w:abstractNumId="5">
    <w:nsid w:val="60CB21B8"/>
    <w:multiLevelType w:val="hybridMultilevel"/>
    <w:tmpl w:val="931657FC"/>
    <w:lvl w:ilvl="0" w:tplc="5F188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F0FC1"/>
    <w:multiLevelType w:val="hybridMultilevel"/>
    <w:tmpl w:val="10641F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458CC"/>
    <w:multiLevelType w:val="hybridMultilevel"/>
    <w:tmpl w:val="8162FE80"/>
    <w:lvl w:ilvl="0" w:tplc="4066ED2C">
      <w:start w:val="1"/>
      <w:numFmt w:val="lowerLetter"/>
      <w:lvlText w:val="%1)"/>
      <w:lvlJc w:val="left"/>
      <w:pPr>
        <w:ind w:left="114" w:hanging="202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615A1628">
      <w:numFmt w:val="bullet"/>
      <w:lvlText w:val="•"/>
      <w:lvlJc w:val="left"/>
      <w:pPr>
        <w:ind w:left="1054" w:hanging="202"/>
      </w:pPr>
      <w:rPr>
        <w:rFonts w:hint="default"/>
      </w:rPr>
    </w:lvl>
    <w:lvl w:ilvl="2" w:tplc="49828010">
      <w:numFmt w:val="bullet"/>
      <w:lvlText w:val="•"/>
      <w:lvlJc w:val="left"/>
      <w:pPr>
        <w:ind w:left="1988" w:hanging="202"/>
      </w:pPr>
      <w:rPr>
        <w:rFonts w:hint="default"/>
      </w:rPr>
    </w:lvl>
    <w:lvl w:ilvl="3" w:tplc="849E02BE">
      <w:numFmt w:val="bullet"/>
      <w:lvlText w:val="•"/>
      <w:lvlJc w:val="left"/>
      <w:pPr>
        <w:ind w:left="2923" w:hanging="202"/>
      </w:pPr>
      <w:rPr>
        <w:rFonts w:hint="default"/>
      </w:rPr>
    </w:lvl>
    <w:lvl w:ilvl="4" w:tplc="A0CE7FD2">
      <w:numFmt w:val="bullet"/>
      <w:lvlText w:val="•"/>
      <w:lvlJc w:val="left"/>
      <w:pPr>
        <w:ind w:left="3857" w:hanging="202"/>
      </w:pPr>
      <w:rPr>
        <w:rFonts w:hint="default"/>
      </w:rPr>
    </w:lvl>
    <w:lvl w:ilvl="5" w:tplc="3B9E6D92">
      <w:numFmt w:val="bullet"/>
      <w:lvlText w:val="•"/>
      <w:lvlJc w:val="left"/>
      <w:pPr>
        <w:ind w:left="4792" w:hanging="202"/>
      </w:pPr>
      <w:rPr>
        <w:rFonts w:hint="default"/>
      </w:rPr>
    </w:lvl>
    <w:lvl w:ilvl="6" w:tplc="F4D654D8">
      <w:numFmt w:val="bullet"/>
      <w:lvlText w:val="•"/>
      <w:lvlJc w:val="left"/>
      <w:pPr>
        <w:ind w:left="5726" w:hanging="202"/>
      </w:pPr>
      <w:rPr>
        <w:rFonts w:hint="default"/>
      </w:rPr>
    </w:lvl>
    <w:lvl w:ilvl="7" w:tplc="449A40DA">
      <w:numFmt w:val="bullet"/>
      <w:lvlText w:val="•"/>
      <w:lvlJc w:val="left"/>
      <w:pPr>
        <w:ind w:left="6660" w:hanging="202"/>
      </w:pPr>
      <w:rPr>
        <w:rFonts w:hint="default"/>
      </w:rPr>
    </w:lvl>
    <w:lvl w:ilvl="8" w:tplc="665EB628">
      <w:numFmt w:val="bullet"/>
      <w:lvlText w:val="•"/>
      <w:lvlJc w:val="left"/>
      <w:pPr>
        <w:ind w:left="7595" w:hanging="20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3500"/>
    <w:rsid w:val="00030BFB"/>
    <w:rsid w:val="000A3F0F"/>
    <w:rsid w:val="00140BA0"/>
    <w:rsid w:val="00162595"/>
    <w:rsid w:val="001829D1"/>
    <w:rsid w:val="001878D5"/>
    <w:rsid w:val="001B3C38"/>
    <w:rsid w:val="00253F7A"/>
    <w:rsid w:val="0026142B"/>
    <w:rsid w:val="00263500"/>
    <w:rsid w:val="003C36E3"/>
    <w:rsid w:val="003F5273"/>
    <w:rsid w:val="003F62B0"/>
    <w:rsid w:val="00447AE3"/>
    <w:rsid w:val="004B25B8"/>
    <w:rsid w:val="004D2066"/>
    <w:rsid w:val="00505547"/>
    <w:rsid w:val="00526E01"/>
    <w:rsid w:val="00541A6A"/>
    <w:rsid w:val="00563852"/>
    <w:rsid w:val="00575060"/>
    <w:rsid w:val="00585AB0"/>
    <w:rsid w:val="005901AE"/>
    <w:rsid w:val="005B58F9"/>
    <w:rsid w:val="006A2A8D"/>
    <w:rsid w:val="00704F05"/>
    <w:rsid w:val="0071260F"/>
    <w:rsid w:val="00756D93"/>
    <w:rsid w:val="00800E4D"/>
    <w:rsid w:val="0081307A"/>
    <w:rsid w:val="008F203F"/>
    <w:rsid w:val="0097520D"/>
    <w:rsid w:val="00997B73"/>
    <w:rsid w:val="009B30A5"/>
    <w:rsid w:val="009C6809"/>
    <w:rsid w:val="009D6774"/>
    <w:rsid w:val="00A11CA9"/>
    <w:rsid w:val="00A2423E"/>
    <w:rsid w:val="00A83F75"/>
    <w:rsid w:val="00AA0CF1"/>
    <w:rsid w:val="00AA50F7"/>
    <w:rsid w:val="00B10100"/>
    <w:rsid w:val="00BF06E0"/>
    <w:rsid w:val="00C00623"/>
    <w:rsid w:val="00C10060"/>
    <w:rsid w:val="00C30FBE"/>
    <w:rsid w:val="00C72886"/>
    <w:rsid w:val="00D0489B"/>
    <w:rsid w:val="00D4503D"/>
    <w:rsid w:val="00D5020F"/>
    <w:rsid w:val="00D56585"/>
    <w:rsid w:val="00DA188D"/>
    <w:rsid w:val="00DC12BC"/>
    <w:rsid w:val="00EA31FD"/>
    <w:rsid w:val="00EB4A5C"/>
    <w:rsid w:val="00ED22E4"/>
    <w:rsid w:val="00F11750"/>
    <w:rsid w:val="00F302D8"/>
    <w:rsid w:val="00F85403"/>
    <w:rsid w:val="00FB02AB"/>
    <w:rsid w:val="00F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36E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3C36E3"/>
    <w:pPr>
      <w:ind w:left="40"/>
      <w:outlineLvl w:val="0"/>
    </w:pPr>
  </w:style>
  <w:style w:type="paragraph" w:styleId="Titolo2">
    <w:name w:val="heading 2"/>
    <w:basedOn w:val="Normale"/>
    <w:uiPriority w:val="1"/>
    <w:qFormat/>
    <w:rsid w:val="003C36E3"/>
    <w:pPr>
      <w:ind w:left="526" w:right="526"/>
      <w:jc w:val="center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C36E3"/>
    <w:rPr>
      <w:sz w:val="21"/>
      <w:szCs w:val="21"/>
    </w:rPr>
  </w:style>
  <w:style w:type="paragraph" w:styleId="Paragrafoelenco">
    <w:name w:val="List Paragraph"/>
    <w:basedOn w:val="Normale"/>
    <w:uiPriority w:val="34"/>
    <w:qFormat/>
    <w:rsid w:val="003C36E3"/>
    <w:pPr>
      <w:ind w:left="114"/>
      <w:jc w:val="both"/>
    </w:pPr>
  </w:style>
  <w:style w:type="paragraph" w:customStyle="1" w:styleId="TableParagraph">
    <w:name w:val="Table Paragraph"/>
    <w:basedOn w:val="Normale"/>
    <w:uiPriority w:val="1"/>
    <w:qFormat/>
    <w:rsid w:val="003C36E3"/>
    <w:pPr>
      <w:spacing w:line="248" w:lineRule="exact"/>
      <w:ind w:right="34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997B7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7B73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101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10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101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00"/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385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3852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3852"/>
    <w:rPr>
      <w:vertAlign w:val="superscript"/>
    </w:rPr>
  </w:style>
  <w:style w:type="table" w:styleId="Grigliatabella">
    <w:name w:val="Table Grid"/>
    <w:basedOn w:val="Tabellanormale"/>
    <w:uiPriority w:val="59"/>
    <w:rsid w:val="00F302D8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D6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67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6774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67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677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7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CE7C-EDD0-4616-B1EA-CE59FD3F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2018-10-06T14:13:00Z</dcterms:created>
  <dcterms:modified xsi:type="dcterms:W3CDTF">2018-10-13T22:55:00Z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2017-06-29T00:00:00Z</vt:filetime>
  </property>
</Properties>
</file>